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4141" w14:textId="77777777" w:rsidR="00596A8C" w:rsidRDefault="00596A8C">
      <w:pPr>
        <w:jc w:val="center"/>
        <w:rPr>
          <w:sz w:val="18"/>
          <w:szCs w:val="18"/>
        </w:rPr>
      </w:pPr>
    </w:p>
    <w:p w14:paraId="675E30B4" w14:textId="77777777" w:rsidR="00596A8C" w:rsidRDefault="00596A8C">
      <w:pPr>
        <w:jc w:val="center"/>
        <w:rPr>
          <w:sz w:val="18"/>
          <w:szCs w:val="18"/>
        </w:rPr>
      </w:pPr>
    </w:p>
    <w:p w14:paraId="237F5E48" w14:textId="77777777" w:rsidR="00596A8C" w:rsidRDefault="00596A8C">
      <w:pPr>
        <w:jc w:val="both"/>
        <w:rPr>
          <w:b/>
          <w:bCs/>
          <w:sz w:val="28"/>
          <w:szCs w:val="28"/>
        </w:rPr>
      </w:pPr>
    </w:p>
    <w:p w14:paraId="6850B16B" w14:textId="77777777" w:rsidR="00596A8C" w:rsidRDefault="00596A8C">
      <w:pPr>
        <w:jc w:val="both"/>
        <w:rPr>
          <w:b/>
          <w:bCs/>
          <w:sz w:val="28"/>
          <w:szCs w:val="28"/>
        </w:rPr>
      </w:pPr>
    </w:p>
    <w:p w14:paraId="7AB337B9" w14:textId="77777777" w:rsidR="00596A8C" w:rsidRDefault="00B451AF">
      <w:pPr>
        <w:jc w:val="center"/>
        <w:rPr>
          <w:b/>
          <w:bCs/>
          <w:sz w:val="28"/>
          <w:szCs w:val="28"/>
        </w:rPr>
      </w:pPr>
      <w:r>
        <w:rPr>
          <w:noProof/>
          <w:lang w:eastAsia="fr-FR"/>
        </w:rPr>
        <w:drawing>
          <wp:anchor distT="0" distB="0" distL="0" distR="114300" simplePos="0" relativeHeight="2" behindDoc="0" locked="0" layoutInCell="0" allowOverlap="1" wp14:anchorId="4544912F" wp14:editId="7282852C">
            <wp:simplePos x="0" y="0"/>
            <wp:positionH relativeFrom="margin">
              <wp:align>left</wp:align>
            </wp:positionH>
            <wp:positionV relativeFrom="margin">
              <wp:align>top</wp:align>
            </wp:positionV>
            <wp:extent cx="1567180" cy="504190"/>
            <wp:effectExtent l="0" t="0" r="0" b="0"/>
            <wp:wrapSquare wrapText="bothSides"/>
            <wp:docPr id="1" name="Image 1"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lipart&#10;&#10;Description générée automatiquement"/>
                    <pic:cNvPicPr>
                      <a:picLocks noChangeAspect="1" noChangeArrowheads="1"/>
                    </pic:cNvPicPr>
                  </pic:nvPicPr>
                  <pic:blipFill>
                    <a:blip r:embed="rId7"/>
                    <a:stretch>
                      <a:fillRect/>
                    </a:stretch>
                  </pic:blipFill>
                  <pic:spPr bwMode="auto">
                    <a:xfrm>
                      <a:off x="0" y="0"/>
                      <a:ext cx="1567180" cy="504190"/>
                    </a:xfrm>
                    <a:prstGeom prst="rect">
                      <a:avLst/>
                    </a:prstGeom>
                    <a:noFill/>
                  </pic:spPr>
                </pic:pic>
              </a:graphicData>
            </a:graphic>
          </wp:anchor>
        </w:drawing>
      </w:r>
      <w:r>
        <w:rPr>
          <w:b/>
          <w:bCs/>
          <w:sz w:val="28"/>
          <w:szCs w:val="28"/>
        </w:rPr>
        <w:t>Proposition de déclaration liminaire pour les Conseils d’administration pour le Budget 2026 de l’établissement</w:t>
      </w:r>
    </w:p>
    <w:p w14:paraId="486DBCF3" w14:textId="77777777" w:rsidR="00596A8C" w:rsidRDefault="00B451AF">
      <w:pPr>
        <w:jc w:val="center"/>
        <w:rPr>
          <w:bCs/>
          <w:i/>
          <w:sz w:val="20"/>
          <w:szCs w:val="20"/>
        </w:rPr>
      </w:pPr>
      <w:r>
        <w:rPr>
          <w:bCs/>
          <w:i/>
          <w:sz w:val="20"/>
          <w:szCs w:val="20"/>
        </w:rPr>
        <w:t>(</w:t>
      </w:r>
      <w:proofErr w:type="gramStart"/>
      <w:r>
        <w:rPr>
          <w:bCs/>
          <w:i/>
          <w:sz w:val="20"/>
          <w:szCs w:val="20"/>
        </w:rPr>
        <w:t>à</w:t>
      </w:r>
      <w:proofErr w:type="gramEnd"/>
      <w:r>
        <w:rPr>
          <w:bCs/>
          <w:i/>
          <w:sz w:val="20"/>
          <w:szCs w:val="20"/>
        </w:rPr>
        <w:t xml:space="preserve"> améliorer, modifier, amender en fonction des situations)</w:t>
      </w:r>
    </w:p>
    <w:p w14:paraId="34F6A326" w14:textId="77777777" w:rsidR="00596A8C" w:rsidRDefault="00596A8C">
      <w:pPr>
        <w:jc w:val="both"/>
      </w:pPr>
    </w:p>
    <w:p w14:paraId="74DDBFB8" w14:textId="77777777" w:rsidR="00596A8C" w:rsidRDefault="00B451AF">
      <w:pPr>
        <w:jc w:val="both"/>
      </w:pPr>
      <w:r>
        <w:t xml:space="preserve">Les choix que nous réaliserons pour le budget 2026 de notre établissement impacteront la scolarité de nos élèves. En tant qu’élu.es, nous sommes engagé.es à porter les besoins d’une éducation de qualité pour une Ecole publique, gratuite, laïque et obligatoire. </w:t>
      </w:r>
    </w:p>
    <w:p w14:paraId="7A10EAA7" w14:textId="77777777" w:rsidR="00596A8C" w:rsidRDefault="00596A8C">
      <w:pPr>
        <w:jc w:val="both"/>
      </w:pPr>
    </w:p>
    <w:p w14:paraId="76070FC3" w14:textId="77777777" w:rsidR="00596A8C" w:rsidRDefault="00B451AF">
      <w:pPr>
        <w:jc w:val="both"/>
        <w:rPr>
          <w:b/>
          <w:bCs/>
          <w:u w:val="single"/>
        </w:rPr>
      </w:pPr>
      <w:r>
        <w:rPr>
          <w:b/>
          <w:bCs/>
          <w:u w:val="single"/>
        </w:rPr>
        <w:t>Contexte de construction du budget</w:t>
      </w:r>
    </w:p>
    <w:p w14:paraId="07F498DD" w14:textId="77777777" w:rsidR="00596A8C" w:rsidRDefault="00596A8C">
      <w:pPr>
        <w:jc w:val="both"/>
        <w:rPr>
          <w:b/>
          <w:bCs/>
          <w:u w:val="single"/>
        </w:rPr>
      </w:pPr>
    </w:p>
    <w:p w14:paraId="4D9914DA" w14:textId="77777777" w:rsidR="00596A8C" w:rsidRDefault="00B451AF">
      <w:pPr>
        <w:jc w:val="both"/>
      </w:pPr>
      <w:r>
        <w:t xml:space="preserve">L’étude du budget de notre établissement se fait dans un contexte particulier qui nous apparaît nécessaire de rappeler.  </w:t>
      </w:r>
    </w:p>
    <w:p w14:paraId="04C1BC60" w14:textId="77777777" w:rsidR="00596A8C" w:rsidRDefault="00B451AF">
      <w:pPr>
        <w:jc w:val="both"/>
      </w:pPr>
      <w:r>
        <w:t xml:space="preserve">Depuis plusieurs années, les Collectivités Locales (Communes, Départements et Régions) subissent les conséquences des « </w:t>
      </w:r>
      <w:r>
        <w:rPr>
          <w:i/>
          <w:iCs/>
        </w:rPr>
        <w:t>réformes des Collectivités Territoriales</w:t>
      </w:r>
      <w:r>
        <w:t xml:space="preserve"> » (Loi MAPTAM en 2014, loi NOTRE en 2015…). </w:t>
      </w:r>
      <w:r w:rsidRPr="00353637">
        <w:rPr>
          <w:color w:val="000000" w:themeColor="text1"/>
        </w:rPr>
        <w:t>L’évolution du</w:t>
      </w:r>
      <w:r>
        <w:t xml:space="preserve"> volet budgétaire de ces réformes a entraîné des baisses permanentes de la Dotation Globale de Fonctionnement (DGF) attribué</w:t>
      </w:r>
      <w:r>
        <w:rPr>
          <w:color w:val="111111"/>
        </w:rPr>
        <w:t xml:space="preserve">e </w:t>
      </w:r>
      <w:r>
        <w:t>par l’Etat, mais aussi une baisse de leurs ressources propres. Cela impacte</w:t>
      </w:r>
      <w:r>
        <w:rPr>
          <w:color w:val="111111"/>
        </w:rPr>
        <w:t xml:space="preserve"> </w:t>
      </w:r>
      <w:r>
        <w:t xml:space="preserve">directement le développement des Services Publics et de l’action sociale dont </w:t>
      </w:r>
      <w:r>
        <w:rPr>
          <w:color w:val="111111"/>
        </w:rPr>
        <w:t>les collectivités</w:t>
      </w:r>
      <w:r>
        <w:rPr>
          <w:color w:val="FF0000"/>
        </w:rPr>
        <w:t xml:space="preserve"> </w:t>
      </w:r>
      <w:r>
        <w:t xml:space="preserve">ont la responsabilité. </w:t>
      </w:r>
      <w:r>
        <w:rPr>
          <w:b/>
          <w:bCs/>
        </w:rPr>
        <w:t>L</w:t>
      </w:r>
      <w:r>
        <w:rPr>
          <w:b/>
          <w:bCs/>
          <w:iCs/>
        </w:rPr>
        <w:t xml:space="preserve">’évolution de la DGF dans les projets de loi de finances révèle ainsi une baisse de 25% entre 2013 et 2025 </w:t>
      </w:r>
      <w:r>
        <w:rPr>
          <w:iCs/>
          <w:color w:val="000000" w:themeColor="text1"/>
        </w:rPr>
        <w:t>(36.23 milliards d’euros en 2013 </w:t>
      </w:r>
      <w:r>
        <w:t xml:space="preserve"> </w:t>
      </w:r>
      <w:r>
        <w:rPr>
          <w:rFonts w:ascii="Wingdings" w:eastAsia="Wingdings" w:hAnsi="Wingdings" w:cs="Wingdings"/>
          <w:iCs/>
          <w:color w:val="000000" w:themeColor="text1"/>
        </w:rPr>
        <w:t></w:t>
      </w:r>
      <w:r>
        <w:rPr>
          <w:iCs/>
          <w:color w:val="000000" w:themeColor="text1"/>
        </w:rPr>
        <w:t xml:space="preserve"> </w:t>
      </w:r>
      <w:r>
        <w:rPr>
          <w:iCs/>
        </w:rPr>
        <w:t>27.4 milliards d’euros</w:t>
      </w:r>
      <w:r>
        <w:rPr>
          <w:iCs/>
          <w:color w:val="FF0000"/>
        </w:rPr>
        <w:t xml:space="preserve"> </w:t>
      </w:r>
      <w:r>
        <w:rPr>
          <w:iCs/>
          <w:color w:val="000000" w:themeColor="text1"/>
        </w:rPr>
        <w:t>pour 2025).</w:t>
      </w:r>
      <w:r>
        <w:t xml:space="preserve"> En prenant en compte l’inflation, la baisse réelle de la DGF est de 30% depuis 2013.</w:t>
      </w:r>
    </w:p>
    <w:p w14:paraId="176465CD" w14:textId="7E49A6F5" w:rsidR="00596A8C" w:rsidRDefault="00B451AF">
      <w:pPr>
        <w:jc w:val="both"/>
      </w:pPr>
      <w:r>
        <w:t xml:space="preserve">De plus, le Projet de Loi de Finances (PLF) 2026 prévoit une baisse minimale supplémentaire de </w:t>
      </w:r>
      <w:r>
        <w:rPr>
          <w:b/>
        </w:rPr>
        <w:t>4.7 milliards d’euros pour les Collectivités Territoriales</w:t>
      </w:r>
      <w:r>
        <w:t>. André Laignel, Président du comité des finances locales, explique très bien la situation et le « sous affichage » des baisses budgétaires : « </w:t>
      </w:r>
      <w:r>
        <w:rPr>
          <w:i/>
        </w:rPr>
        <w:t>ce budget est probablement le plus mauvais qu’on a jamais eu en ce qui concerne les collectivités territoriales… pour 2025, on nous avait annoncé – 2Mds d’euros ; cette année on nous annonce – 4.7 Mds.</w:t>
      </w:r>
      <w:r w:rsidR="00221E1A">
        <w:rPr>
          <w:i/>
        </w:rPr>
        <w:t>.</w:t>
      </w:r>
      <w:r>
        <w:rPr>
          <w:i/>
        </w:rPr>
        <w:t>. ces chiffres sont sous-estimés par l’Etat puisque la réalité, pour cette année 2025, c’est plus de 7 Mds en moins, et que selon mes calculs, ce sera au moins 8.4 Mds pour 2026 ! Cela veut dire des modernisations de territoires qui ne se feront pas, des services publics locaux qui peuvent fermer ou être affaiblis, et des collectivités plongées dans une incertitude qui va rendre très difficile la préparation de leur budget 2026</w:t>
      </w:r>
      <w:r>
        <w:t xml:space="preserve"> ». C’est une cure d’austérité insupportable. Nous refuserons que nos élèves paient le coût de ces choix irresponsables, car d’autres solutions existent pour permettre le développement des Services Publics. </w:t>
      </w:r>
    </w:p>
    <w:p w14:paraId="01A2226C" w14:textId="77777777" w:rsidR="00596A8C" w:rsidRDefault="00B451AF">
      <w:pPr>
        <w:jc w:val="both"/>
      </w:pPr>
      <w:r>
        <w:t xml:space="preserve">Par ailleurs, la libéralisation du marché de l’énergie depuis les années 1990 en Europe entraîne une explosion des coûts de fonctionnement pour les collectivités. En effet, le « dogme du marché » a fait grimper le prix de l’électricité (et du gaz) alors que son coût de production en France est resté relativement stable. La spéculation sur l’énergie est </w:t>
      </w:r>
      <w:r w:rsidR="00353637">
        <w:t>inacceptable</w:t>
      </w:r>
      <w:r>
        <w:t xml:space="preserve"> et met en danger économique entreprises, particuliers et services publics.  Les enjeux environnementaux, appellent aussi à lancer un grand plan d’isolation des bâtiments publics, pourtant, le budget 2026 prévoit une nouvelle amputation du Fonds vert, dédié aux projets d’adaptation au changement climatique, déjà divisé par 2 en 2025 (passant de 2.5 à 1.5Mds d’euros</w:t>
      </w:r>
      <w:r w:rsidR="00353637">
        <w:t>)</w:t>
      </w:r>
      <w:r>
        <w:t xml:space="preserve"> et qui subirait une nouvelle baisse de 500 millions d’euros pour s’établir à 650 millions d’euros en 2026. C’est ahurissant !</w:t>
      </w:r>
    </w:p>
    <w:p w14:paraId="440F3E82" w14:textId="77777777" w:rsidR="00596A8C" w:rsidRDefault="00B451AF">
      <w:pPr>
        <w:jc w:val="both"/>
      </w:pPr>
      <w:r>
        <w:t xml:space="preserve">Nous devrons aussi analyser le budget de l’établissement au regard de l’inflation. Cette dernière a été particulièrement élevée ces dernières années : +5.2% en 2022, +4.9% en 2023, +2.0% en 2024, il est prévu +1% en </w:t>
      </w:r>
      <w:r>
        <w:lastRenderedPageBreak/>
        <w:t xml:space="preserve">2025 et +1.3% pour 2026 dans le projet de PLF. Nous dénonçons le projet d’année blanche dans le PLF 2026 pour les salaires et les prestations sociales qui vont pénaliser les services publics, les agent.es, l’attractivité des métiers de l’éducation et des Services Publics en général ainsi qu’une grande partie de la population. </w:t>
      </w:r>
    </w:p>
    <w:p w14:paraId="17DDE0B0" w14:textId="77777777" w:rsidR="00596A8C" w:rsidRDefault="00596A8C">
      <w:pPr>
        <w:jc w:val="both"/>
      </w:pPr>
    </w:p>
    <w:p w14:paraId="36018E9D" w14:textId="77777777" w:rsidR="00596A8C" w:rsidRDefault="00B451AF">
      <w:pPr>
        <w:jc w:val="both"/>
        <w:rPr>
          <w:b/>
          <w:bCs/>
          <w:u w:val="single"/>
        </w:rPr>
      </w:pPr>
      <w:r>
        <w:rPr>
          <w:b/>
          <w:bCs/>
          <w:u w:val="single"/>
        </w:rPr>
        <w:t>Situation économique</w:t>
      </w:r>
    </w:p>
    <w:p w14:paraId="74C8EC3B" w14:textId="62D2B239" w:rsidR="00596A8C" w:rsidRDefault="00B451AF">
      <w:pPr>
        <w:jc w:val="both"/>
      </w:pPr>
      <w:r>
        <w:t>Au niveau économique, il est pourtant possible d’investir massivement pour l’Education, comme pour d’autres services publics qui en ont bien besoin (hôpital, pompiers, agents ONF, impôts…), ce n’est pas l’argent qui manque : la France est  « championne d’Europe » pour le versement de dividendes (98.2 Mds en 2024 pour le CAC 40)  et conforte sa place de leader européen en la matière</w:t>
      </w:r>
      <w:r>
        <w:rPr>
          <w:rStyle w:val="Appelnotedebasdep"/>
        </w:rPr>
        <w:footnoteReference w:id="1"/>
      </w:r>
      <w:r>
        <w:t>. De plus, l’accumulation de richesse par les grandes fortunes s’accélère en France. L’argent détenu par les 500 familles les plus riches atteint 1 218 milliards d’euros en 2025 (2). Au regard du PIB, la fortune des 500 familles représentait 6% du PIB en 1996, 20% en 2017 et plus de 40% en 2024! Il est urgent de mieux répartir les richesses pour permettre de faire vivre la devise « Liberté, Egalité, Fraternité » par le renforcement des Services Publics. L’enrichissement des plus fortuné</w:t>
      </w:r>
      <w:r w:rsidR="002B1761">
        <w:t>.e</w:t>
      </w:r>
      <w:r>
        <w:t>s se fait au détriment de la majorité de la population.</w:t>
      </w:r>
    </w:p>
    <w:p w14:paraId="5B1B9369" w14:textId="3D22498E" w:rsidR="00596A8C" w:rsidRDefault="00B451AF">
      <w:pPr>
        <w:jc w:val="both"/>
      </w:pPr>
      <w:r>
        <w:t xml:space="preserve">Par ailleurs, dans un contexte d’austérité pour les Services publics, nous condamnons les augmentations de dépenses publiques qui n’ont pas lieu d’être. Le budget de la défense est en hausse constante depuis 2017 et il est prévu son doublement pour 2030 (passage de 32.3 Mds en 2017 à 67.4 Mds en 2023). Ce budget s’établira en 2026 à </w:t>
      </w:r>
      <w:r w:rsidR="00353637">
        <w:t>57,1</w:t>
      </w:r>
      <w:r>
        <w:t xml:space="preserve"> Mds d’euros (</w:t>
      </w:r>
      <w:r w:rsidR="00353637">
        <w:rPr>
          <w:b/>
        </w:rPr>
        <w:t>en hausse de 12</w:t>
      </w:r>
      <w:r>
        <w:rPr>
          <w:b/>
        </w:rPr>
        <w:t>% en 1 an</w:t>
      </w:r>
      <w:r>
        <w:t>). Il nous faut préparer, pour les générations futures, la paix et la transition environnementale et non la guerre qui se fera contre le peuple et au profit des industriels de l’armement. Par ailleurs, cet été, un rapport sénatorial a évalué les aides publiques de l’Etat aux grandes entreprises. Ainsi, ce sont 211 Mds d’euros d’aides publiques aux grandes entreprises qui sont donnés, sans contrôle, ni contreparties. Rien n’a démontré que cela favoris</w:t>
      </w:r>
      <w:r w:rsidR="00221E1A">
        <w:t>e</w:t>
      </w:r>
      <w:r>
        <w:t xml:space="preserve"> l’emploi et l’investissement, mais parfois ces entreprises licencient et versent des dividendes. Il n’est pas acceptable que l’argent public serve à l’augmentation des dividendes des actionnaires, </w:t>
      </w:r>
      <w:r w:rsidRPr="00353637">
        <w:rPr>
          <w:color w:val="000000" w:themeColor="text1"/>
        </w:rPr>
        <w:t>d’autant plus qu’il</w:t>
      </w:r>
      <w:r>
        <w:t xml:space="preserve"> manque cruellement pour les Services Publics. </w:t>
      </w:r>
    </w:p>
    <w:p w14:paraId="4BF30646" w14:textId="77777777" w:rsidR="00596A8C" w:rsidRDefault="00B451AF">
      <w:pPr>
        <w:jc w:val="both"/>
        <w:rPr>
          <w:color w:val="FF0000"/>
        </w:rPr>
      </w:pPr>
      <w:r>
        <w:rPr>
          <w:color w:val="000000"/>
        </w:rPr>
        <w:t>C’est avec l’ensemble de ces analyses, et parce que nous portons la volonté d’un Service Public d’Education de qualité, que nous aborderons les débats sur le budget 2026 de notre établissement.</w:t>
      </w:r>
    </w:p>
    <w:sectPr w:rsidR="00596A8C">
      <w:pgSz w:w="11906" w:h="16838"/>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B1A2" w14:textId="77777777" w:rsidR="00D36320" w:rsidRDefault="00D36320">
      <w:pPr>
        <w:spacing w:after="0" w:line="240" w:lineRule="auto"/>
      </w:pPr>
      <w:r>
        <w:separator/>
      </w:r>
    </w:p>
  </w:endnote>
  <w:endnote w:type="continuationSeparator" w:id="0">
    <w:p w14:paraId="5BDE74A6" w14:textId="77777777" w:rsidR="00D36320" w:rsidRDefault="00D3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2CD0" w14:textId="77777777" w:rsidR="00D36320" w:rsidRDefault="00D36320">
      <w:r>
        <w:separator/>
      </w:r>
    </w:p>
  </w:footnote>
  <w:footnote w:type="continuationSeparator" w:id="0">
    <w:p w14:paraId="5C21E26E" w14:textId="77777777" w:rsidR="00D36320" w:rsidRDefault="00D36320">
      <w:r>
        <w:continuationSeparator/>
      </w:r>
    </w:p>
  </w:footnote>
  <w:footnote w:id="1">
    <w:p w14:paraId="203F8862" w14:textId="77777777" w:rsidR="00596A8C" w:rsidRPr="00ED555D" w:rsidRDefault="00B451AF">
      <w:pPr>
        <w:pStyle w:val="Titre1"/>
        <w:spacing w:beforeAutospacing="0" w:after="0" w:afterAutospacing="0"/>
        <w:rPr>
          <w:rFonts w:asciiTheme="minorHAnsi" w:hAnsiTheme="minorHAnsi" w:cstheme="minorHAnsi"/>
          <w:b w:val="0"/>
          <w:bCs w:val="0"/>
          <w:i/>
          <w:iCs/>
          <w:sz w:val="22"/>
          <w:szCs w:val="22"/>
        </w:rPr>
      </w:pPr>
      <w:r w:rsidRPr="00ED555D">
        <w:rPr>
          <w:rStyle w:val="Caractresdenotedebasdepage"/>
          <w:rFonts w:asciiTheme="minorHAnsi" w:hAnsiTheme="minorHAnsi" w:cstheme="minorHAnsi"/>
          <w:sz w:val="22"/>
          <w:szCs w:val="22"/>
        </w:rPr>
        <w:footnoteRef/>
      </w:r>
      <w:r w:rsidRPr="00ED555D">
        <w:rPr>
          <w:rFonts w:asciiTheme="minorHAnsi" w:hAnsiTheme="minorHAnsi" w:cstheme="minorHAnsi"/>
          <w:sz w:val="22"/>
          <w:szCs w:val="22"/>
        </w:rPr>
        <w:t xml:space="preserve"> </w:t>
      </w:r>
      <w:hyperlink r:id="rId1">
        <w:r w:rsidRPr="00ED555D">
          <w:rPr>
            <w:rStyle w:val="Lienhypertexte"/>
            <w:rFonts w:asciiTheme="minorHAnsi" w:hAnsiTheme="minorHAnsi" w:cstheme="minorHAnsi"/>
            <w:b w:val="0"/>
            <w:iCs/>
            <w:sz w:val="22"/>
            <w:szCs w:val="22"/>
          </w:rPr>
          <w:t>https://www.liberation.fr/economie/les-groupes-du-cac-40-ont-verse-un-montant-record-a-leurs-actionnaires-en-2024-20250114_JUVBQ2JIK5GD5EA2E3EO7QEH44/</w:t>
        </w:r>
      </w:hyperlink>
    </w:p>
    <w:p w14:paraId="405FEBE6" w14:textId="77777777" w:rsidR="00596A8C" w:rsidRPr="00ED555D" w:rsidRDefault="00B451AF">
      <w:pPr>
        <w:pStyle w:val="Titre1"/>
        <w:spacing w:beforeAutospacing="0" w:after="0" w:afterAutospacing="0"/>
        <w:rPr>
          <w:rFonts w:asciiTheme="minorHAnsi" w:hAnsiTheme="minorHAnsi" w:cstheme="minorHAnsi"/>
          <w:b w:val="0"/>
          <w:bCs w:val="0"/>
          <w:sz w:val="22"/>
          <w:szCs w:val="22"/>
        </w:rPr>
      </w:pPr>
      <w:r w:rsidRPr="00ED555D">
        <w:rPr>
          <w:rFonts w:asciiTheme="minorHAnsi" w:hAnsiTheme="minorHAnsi" w:cstheme="minorHAnsi"/>
          <w:sz w:val="22"/>
          <w:szCs w:val="22"/>
        </w:rPr>
        <w:t xml:space="preserve">2 </w:t>
      </w:r>
      <w:r w:rsidRPr="00ED555D">
        <w:rPr>
          <w:rFonts w:asciiTheme="minorHAnsi" w:hAnsiTheme="minorHAnsi" w:cstheme="minorHAnsi"/>
          <w:b w:val="0"/>
          <w:bCs w:val="0"/>
          <w:sz w:val="22"/>
          <w:szCs w:val="22"/>
        </w:rPr>
        <w:t>Revue Challenges n° 883, juillet 2025</w:t>
      </w:r>
    </w:p>
    <w:p w14:paraId="3AE9AE4C" w14:textId="77777777" w:rsidR="00596A8C" w:rsidRDefault="00596A8C">
      <w:pPr>
        <w:pStyle w:val="Titre1"/>
        <w:spacing w:beforeAutospacing="0" w:after="0" w:afterAutospacing="0"/>
        <w:rPr>
          <w:rFonts w:asciiTheme="minorHAnsi" w:hAnsiTheme="minorHAnsi" w:cstheme="minorHAnsi"/>
          <w:b w:val="0"/>
          <w:iCs/>
          <w:sz w:val="19"/>
          <w:szCs w:val="19"/>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A8C"/>
    <w:rsid w:val="00221E1A"/>
    <w:rsid w:val="002B1761"/>
    <w:rsid w:val="00353637"/>
    <w:rsid w:val="00596A8C"/>
    <w:rsid w:val="00B451AF"/>
    <w:rsid w:val="00D36320"/>
    <w:rsid w:val="00ED555D"/>
    <w:rsid w:val="00F11B0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CFE5"/>
  <w15:docId w15:val="{2642A051-B8F6-4891-9A8B-B7526C63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Titre1">
    <w:name w:val="heading 1"/>
    <w:basedOn w:val="Normal"/>
    <w:link w:val="Titre1Car"/>
    <w:uiPriority w:val="9"/>
    <w:qFormat/>
    <w:rsid w:val="00F502EF"/>
    <w:pPr>
      <w:spacing w:beforeAutospacing="1" w:afterAutospacing="1" w:line="240" w:lineRule="auto"/>
      <w:outlineLvl w:val="0"/>
    </w:pPr>
    <w:rPr>
      <w:rFonts w:ascii="Times New Roman" w:eastAsia="Times New Roman" w:hAnsi="Times New Roman" w:cs="Times New Roman"/>
      <w:b/>
      <w:bCs/>
      <w:kern w:val="2"/>
      <w:sz w:val="48"/>
      <w:szCs w:val="48"/>
      <w:lang w:eastAsia="fr-FR"/>
    </w:rPr>
  </w:style>
  <w:style w:type="paragraph" w:styleId="Titre2">
    <w:name w:val="heading 2"/>
    <w:basedOn w:val="Normal"/>
    <w:next w:val="Normal"/>
    <w:link w:val="Titre2Car"/>
    <w:uiPriority w:val="9"/>
    <w:unhideWhenUsed/>
    <w:qFormat/>
    <w:rsid w:val="006166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user">
    <w:name w:val="Lien Internet (user)"/>
    <w:basedOn w:val="Policepardfaut"/>
    <w:uiPriority w:val="99"/>
    <w:unhideWhenUsed/>
    <w:qFormat/>
    <w:rsid w:val="00F502EF"/>
    <w:rPr>
      <w:color w:val="0563C1" w:themeColor="hyperlink"/>
      <w:u w:val="single"/>
    </w:rPr>
  </w:style>
  <w:style w:type="character" w:customStyle="1" w:styleId="NotedebasdepageCar">
    <w:name w:val="Note de bas de page Car"/>
    <w:basedOn w:val="Policepardfaut"/>
    <w:link w:val="Notedebasdepage"/>
    <w:uiPriority w:val="99"/>
    <w:semiHidden/>
    <w:qFormat/>
    <w:rsid w:val="00F502EF"/>
    <w:rPr>
      <w:sz w:val="20"/>
      <w:szCs w:val="20"/>
    </w:rPr>
  </w:style>
  <w:style w:type="character" w:customStyle="1" w:styleId="Ancredenotedebasdepageuser">
    <w:name w:val="Ancre de note de bas de page (user)"/>
    <w:qFormat/>
    <w:rPr>
      <w:vertAlign w:val="superscript"/>
    </w:rPr>
  </w:style>
  <w:style w:type="character" w:customStyle="1" w:styleId="FootnoteCharacters">
    <w:name w:val="Footnote Characters"/>
    <w:basedOn w:val="Policepardfaut"/>
    <w:uiPriority w:val="99"/>
    <w:semiHidden/>
    <w:unhideWhenUsed/>
    <w:qFormat/>
    <w:rsid w:val="00F502EF"/>
    <w:rPr>
      <w:vertAlign w:val="superscript"/>
    </w:rPr>
  </w:style>
  <w:style w:type="character" w:customStyle="1" w:styleId="Titre1Car">
    <w:name w:val="Titre 1 Car"/>
    <w:basedOn w:val="Policepardfaut"/>
    <w:link w:val="Titre1"/>
    <w:uiPriority w:val="9"/>
    <w:qFormat/>
    <w:rsid w:val="00F502EF"/>
    <w:rPr>
      <w:rFonts w:ascii="Times New Roman" w:eastAsia="Times New Roman" w:hAnsi="Times New Roman" w:cs="Times New Roman"/>
      <w:b/>
      <w:bCs/>
      <w:kern w:val="2"/>
      <w:sz w:val="48"/>
      <w:szCs w:val="48"/>
      <w:lang w:eastAsia="fr-FR"/>
    </w:rPr>
  </w:style>
  <w:style w:type="character" w:customStyle="1" w:styleId="Mentionnonrsolue1">
    <w:name w:val="Mention non résolue1"/>
    <w:basedOn w:val="Policepardfaut"/>
    <w:uiPriority w:val="99"/>
    <w:semiHidden/>
    <w:unhideWhenUsed/>
    <w:qFormat/>
    <w:rsid w:val="00F502EF"/>
    <w:rPr>
      <w:color w:val="605E5C"/>
      <w:shd w:val="clear" w:color="auto" w:fill="E1DFDD"/>
    </w:rPr>
  </w:style>
  <w:style w:type="character" w:customStyle="1" w:styleId="En-tteCar">
    <w:name w:val="En-tête Car"/>
    <w:basedOn w:val="Policepardfaut"/>
    <w:uiPriority w:val="99"/>
    <w:qFormat/>
    <w:rsid w:val="000302B9"/>
  </w:style>
  <w:style w:type="character" w:customStyle="1" w:styleId="PieddepageCar">
    <w:name w:val="Pied de page Car"/>
    <w:basedOn w:val="Policepardfaut"/>
    <w:link w:val="Pieddepage"/>
    <w:uiPriority w:val="99"/>
    <w:qFormat/>
    <w:rsid w:val="000302B9"/>
  </w:style>
  <w:style w:type="character" w:styleId="Lienhypertextesuivivisit">
    <w:name w:val="FollowedHyperlink"/>
    <w:basedOn w:val="Policepardfaut"/>
    <w:uiPriority w:val="99"/>
    <w:semiHidden/>
    <w:unhideWhenUsed/>
    <w:qFormat/>
    <w:rsid w:val="000302B9"/>
    <w:rPr>
      <w:color w:val="954F72" w:themeColor="followedHyperlink"/>
      <w:u w:val="single"/>
    </w:rPr>
  </w:style>
  <w:style w:type="character" w:customStyle="1" w:styleId="style-scope">
    <w:name w:val="style-scope"/>
    <w:basedOn w:val="Policepardfaut"/>
    <w:qFormat/>
    <w:rsid w:val="00B24654"/>
  </w:style>
  <w:style w:type="character" w:customStyle="1" w:styleId="sc-aamjrj-0">
    <w:name w:val="sc-aamjrj-0"/>
    <w:basedOn w:val="Policepardfaut"/>
    <w:qFormat/>
    <w:rsid w:val="00243F5D"/>
  </w:style>
  <w:style w:type="character" w:customStyle="1" w:styleId="Titre2Car">
    <w:name w:val="Titre 2 Car"/>
    <w:basedOn w:val="Policepardfaut"/>
    <w:link w:val="Titre2"/>
    <w:uiPriority w:val="9"/>
    <w:qFormat/>
    <w:rsid w:val="00616617"/>
    <w:rPr>
      <w:rFonts w:asciiTheme="majorHAnsi" w:eastAsiaTheme="majorEastAsia" w:hAnsiTheme="majorHAnsi" w:cstheme="majorBidi"/>
      <w:color w:val="2E74B5" w:themeColor="accent1" w:themeShade="BF"/>
      <w:sz w:val="26"/>
      <w:szCs w:val="26"/>
    </w:rPr>
  </w:style>
  <w:style w:type="character" w:customStyle="1" w:styleId="Caractresdenotedebasdepageuser">
    <w:name w:val="Caractères de note de bas de page (user)"/>
    <w:qFormat/>
  </w:style>
  <w:style w:type="character" w:customStyle="1" w:styleId="LienInternetvisituser">
    <w:name w:val="Lien Internet visité (user)"/>
    <w:qFormat/>
    <w:rPr>
      <w:color w:val="800000"/>
      <w:u w:val="single"/>
    </w:rPr>
  </w:style>
  <w:style w:type="character" w:styleId="Accentuation">
    <w:name w:val="Emphasis"/>
    <w:qFormat/>
    <w:rPr>
      <w:i/>
      <w:iCs/>
    </w:rPr>
  </w:style>
  <w:style w:type="character" w:customStyle="1" w:styleId="Ancredenotedefinuser">
    <w:name w:val="Ancre de note de fin (user)"/>
    <w:qFormat/>
    <w:rPr>
      <w:vertAlign w:val="superscript"/>
    </w:rPr>
  </w:style>
  <w:style w:type="character" w:customStyle="1" w:styleId="Caractresdenotedefinuser">
    <w:name w:val="Caractères de note de fin (user)"/>
    <w:qFormat/>
  </w:style>
  <w:style w:type="character" w:styleId="Lienhypertexte">
    <w:name w:val="Hyperlink"/>
    <w:basedOn w:val="Policepardfaut"/>
    <w:uiPriority w:val="99"/>
    <w:unhideWhenUsed/>
    <w:rsid w:val="00523C2C"/>
    <w:rPr>
      <w:color w:val="0563C1" w:themeColor="hyperlink"/>
      <w:u w:val="single"/>
    </w:rPr>
  </w:style>
  <w:style w:type="character" w:customStyle="1" w:styleId="Mentionnonrsolue2">
    <w:name w:val="Mention non résolue2"/>
    <w:basedOn w:val="Policepardfaut"/>
    <w:uiPriority w:val="99"/>
    <w:semiHidden/>
    <w:unhideWhenUsed/>
    <w:qFormat/>
    <w:rsid w:val="00523C2C"/>
    <w:rPr>
      <w:color w:val="605E5C"/>
      <w:shd w:val="clear" w:color="auto" w:fill="E1DFDD"/>
    </w:rPr>
  </w:style>
  <w:style w:type="character" w:customStyle="1" w:styleId="Caractresdenotedebasdepage">
    <w:name w:val="Caractères de note de bas de page"/>
    <w:qFormat/>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tedebasdepage">
    <w:name w:val="footnote text"/>
    <w:basedOn w:val="Normal"/>
    <w:link w:val="NotedebasdepageCar"/>
    <w:uiPriority w:val="99"/>
    <w:semiHidden/>
    <w:unhideWhenUsed/>
    <w:rsid w:val="00F502EF"/>
    <w:pPr>
      <w:spacing w:after="0" w:line="240" w:lineRule="auto"/>
    </w:pPr>
    <w:rPr>
      <w:sz w:val="20"/>
      <w:szCs w:val="20"/>
    </w:rPr>
  </w:style>
  <w:style w:type="paragraph" w:customStyle="1" w:styleId="En-tteetpieddepage">
    <w:name w:val="En-tête et pied de page"/>
    <w:basedOn w:val="Normal"/>
    <w:qFormat/>
  </w:style>
  <w:style w:type="paragraph" w:styleId="En-tte">
    <w:name w:val="header"/>
    <w:basedOn w:val="Normal"/>
    <w:uiPriority w:val="99"/>
    <w:unhideWhenUsed/>
    <w:rsid w:val="000302B9"/>
    <w:pPr>
      <w:tabs>
        <w:tab w:val="center" w:pos="4536"/>
        <w:tab w:val="right" w:pos="9072"/>
      </w:tabs>
      <w:spacing w:after="0" w:line="240" w:lineRule="auto"/>
    </w:pPr>
  </w:style>
  <w:style w:type="paragraph" w:styleId="Pieddepage">
    <w:name w:val="footer"/>
    <w:basedOn w:val="Normal"/>
    <w:link w:val="PieddepageCar"/>
    <w:uiPriority w:val="99"/>
    <w:unhideWhenUsed/>
    <w:rsid w:val="000302B9"/>
    <w:pPr>
      <w:tabs>
        <w:tab w:val="center" w:pos="4536"/>
        <w:tab w:val="right" w:pos="9072"/>
      </w:tabs>
      <w:spacing w:after="0" w:line="240" w:lineRule="auto"/>
    </w:pPr>
  </w:style>
  <w:style w:type="paragraph" w:styleId="NormalWeb">
    <w:name w:val="Normal (Web)"/>
    <w:basedOn w:val="Normal"/>
    <w:uiPriority w:val="99"/>
    <w:semiHidden/>
    <w:unhideWhenUsed/>
    <w:qFormat/>
    <w:rsid w:val="006C09A6"/>
    <w:pPr>
      <w:spacing w:beforeAutospacing="1" w:afterAutospacing="1" w:line="240" w:lineRule="auto"/>
    </w:pPr>
    <w:rPr>
      <w:rFonts w:ascii="Times New Roman" w:eastAsia="Times New Roman" w:hAnsi="Times New Roman" w:cs="Times New Roman"/>
      <w:sz w:val="24"/>
      <w:szCs w:val="24"/>
      <w:lang w:eastAsia="fr-FR"/>
    </w:r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iberation.fr/economie/les-groupes-du-cac-40-ont-verse-un-montant-record-a-leurs-actionnaires-en-2024-20250114_JUVBQ2JIK5GD5EA2E3EO7QEH44/"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4E822-1F26-48E0-A2F6-3D08DB09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952</Words>
  <Characters>5242</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artigaud</dc:creator>
  <dc:description/>
  <cp:lastModifiedBy>Jade</cp:lastModifiedBy>
  <cp:revision>10</cp:revision>
  <dcterms:created xsi:type="dcterms:W3CDTF">2025-10-28T09:57:00Z</dcterms:created>
  <dcterms:modified xsi:type="dcterms:W3CDTF">2025-11-10T10:47:00Z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