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8A5ED" w14:textId="77777777" w:rsidR="00210849" w:rsidRDefault="00210849">
      <w:pPr>
        <w:jc w:val="center"/>
        <w:rPr>
          <w:sz w:val="18"/>
          <w:szCs w:val="18"/>
        </w:rPr>
      </w:pPr>
    </w:p>
    <w:p w14:paraId="52D26BEF" w14:textId="77777777" w:rsidR="00210849" w:rsidRDefault="00210849">
      <w:pPr>
        <w:jc w:val="center"/>
        <w:rPr>
          <w:sz w:val="18"/>
          <w:szCs w:val="18"/>
        </w:rPr>
      </w:pPr>
    </w:p>
    <w:p w14:paraId="19A7EA8A" w14:textId="77777777" w:rsidR="002414D7" w:rsidRDefault="002414D7">
      <w:pPr>
        <w:jc w:val="center"/>
        <w:rPr>
          <w:sz w:val="18"/>
          <w:szCs w:val="18"/>
        </w:rPr>
      </w:pPr>
    </w:p>
    <w:p w14:paraId="6D838CCF" w14:textId="57E640CD" w:rsidR="00210849" w:rsidRPr="002414D7" w:rsidRDefault="003A0C34" w:rsidP="002414D7">
      <w:pPr>
        <w:jc w:val="both"/>
        <w:rPr>
          <w:b/>
          <w:bCs/>
          <w:sz w:val="28"/>
          <w:szCs w:val="28"/>
        </w:rPr>
      </w:pPr>
      <w:r w:rsidRPr="002414D7">
        <w:rPr>
          <w:b/>
          <w:bCs/>
          <w:noProof/>
          <w:sz w:val="28"/>
          <w:szCs w:val="28"/>
          <w:lang w:eastAsia="fr-FR"/>
        </w:rPr>
        <w:drawing>
          <wp:anchor distT="0" distB="0" distL="0" distR="114300" simplePos="0" relativeHeight="2" behindDoc="0" locked="0" layoutInCell="1" allowOverlap="1" wp14:anchorId="7E691324" wp14:editId="201054AD">
            <wp:simplePos x="0" y="0"/>
            <wp:positionH relativeFrom="margin">
              <wp:align>left</wp:align>
            </wp:positionH>
            <wp:positionV relativeFrom="margin">
              <wp:align>top</wp:align>
            </wp:positionV>
            <wp:extent cx="1567180" cy="504190"/>
            <wp:effectExtent l="0" t="0" r="0" b="0"/>
            <wp:wrapSquare wrapText="bothSides"/>
            <wp:docPr id="1" name="Image 1"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lipart&#10;&#10;Description générée automatiquement"/>
                    <pic:cNvPicPr>
                      <a:picLocks noChangeAspect="1" noChangeArrowheads="1"/>
                    </pic:cNvPicPr>
                  </pic:nvPicPr>
                  <pic:blipFill>
                    <a:blip r:embed="rId7"/>
                    <a:stretch>
                      <a:fillRect/>
                    </a:stretch>
                  </pic:blipFill>
                  <pic:spPr bwMode="auto">
                    <a:xfrm>
                      <a:off x="0" y="0"/>
                      <a:ext cx="1567180" cy="504190"/>
                    </a:xfrm>
                    <a:prstGeom prst="rect">
                      <a:avLst/>
                    </a:prstGeom>
                  </pic:spPr>
                </pic:pic>
              </a:graphicData>
            </a:graphic>
          </wp:anchor>
        </w:drawing>
      </w:r>
      <w:r w:rsidR="00130560" w:rsidRPr="002414D7">
        <w:rPr>
          <w:b/>
          <w:bCs/>
          <w:sz w:val="28"/>
          <w:szCs w:val="28"/>
        </w:rPr>
        <w:t>Proposition</w:t>
      </w:r>
      <w:r w:rsidRPr="002414D7">
        <w:rPr>
          <w:b/>
          <w:bCs/>
          <w:sz w:val="28"/>
          <w:szCs w:val="28"/>
        </w:rPr>
        <w:t xml:space="preserve"> de déclaration liminaire pour les Conseils d’administ</w:t>
      </w:r>
      <w:r w:rsidR="0003598E" w:rsidRPr="002414D7">
        <w:rPr>
          <w:b/>
          <w:bCs/>
          <w:sz w:val="28"/>
          <w:szCs w:val="28"/>
        </w:rPr>
        <w:t>ration concernant le Budget 2025</w:t>
      </w:r>
    </w:p>
    <w:p w14:paraId="0E2184C3" w14:textId="77777777" w:rsidR="00210849" w:rsidRDefault="003A0C34" w:rsidP="002414D7">
      <w:pPr>
        <w:jc w:val="both"/>
        <w:rPr>
          <w:sz w:val="19"/>
          <w:szCs w:val="19"/>
        </w:rPr>
      </w:pPr>
      <w:r>
        <w:rPr>
          <w:sz w:val="19"/>
          <w:szCs w:val="19"/>
        </w:rPr>
        <w:t xml:space="preserve">Nous tenons à rappeler en ce début de déclaration que les choix réalisés pour l’Education pour l’année à venir impacteront la scolarité d’élèves qui ont vécu la pandémie pendant laquelle l’offre éducative a été particulièrement réduite. Nous savons l’importance de l’Education pour former les </w:t>
      </w:r>
      <w:proofErr w:type="spellStart"/>
      <w:r>
        <w:rPr>
          <w:sz w:val="19"/>
          <w:szCs w:val="19"/>
        </w:rPr>
        <w:t>citoyen.nes</w:t>
      </w:r>
      <w:proofErr w:type="spellEnd"/>
      <w:r>
        <w:rPr>
          <w:sz w:val="19"/>
          <w:szCs w:val="19"/>
        </w:rPr>
        <w:t xml:space="preserve"> de demain. C’est pourquoi nous sommes engagé.es en tant qu’élu.es pour porter une Education de qualité pour tous et toutes. </w:t>
      </w:r>
    </w:p>
    <w:p w14:paraId="36EEE470" w14:textId="77777777" w:rsidR="00210849" w:rsidRDefault="003A0C34" w:rsidP="002414D7">
      <w:pPr>
        <w:jc w:val="both"/>
        <w:rPr>
          <w:b/>
          <w:bCs/>
          <w:sz w:val="19"/>
          <w:szCs w:val="19"/>
          <w:u w:val="single"/>
        </w:rPr>
      </w:pPr>
      <w:r>
        <w:rPr>
          <w:b/>
          <w:bCs/>
          <w:sz w:val="19"/>
          <w:szCs w:val="19"/>
          <w:u w:val="single"/>
        </w:rPr>
        <w:t>Contexte de construction du budget</w:t>
      </w:r>
    </w:p>
    <w:p w14:paraId="05BE6DFD" w14:textId="7DDE25B0" w:rsidR="00210849" w:rsidRDefault="00EC1811" w:rsidP="002414D7">
      <w:pPr>
        <w:jc w:val="both"/>
        <w:rPr>
          <w:sz w:val="19"/>
          <w:szCs w:val="19"/>
        </w:rPr>
      </w:pPr>
      <w:r>
        <w:rPr>
          <w:sz w:val="19"/>
          <w:szCs w:val="19"/>
        </w:rPr>
        <w:t>L’étude du budget pour notre établissement se fait dans un contexte particulier</w:t>
      </w:r>
      <w:r w:rsidR="00787295">
        <w:rPr>
          <w:sz w:val="19"/>
          <w:szCs w:val="19"/>
        </w:rPr>
        <w:t xml:space="preserve"> qui nous apparait nécessaire de rappeler. </w:t>
      </w:r>
      <w:r w:rsidR="003A0C34">
        <w:rPr>
          <w:sz w:val="19"/>
          <w:szCs w:val="19"/>
        </w:rPr>
        <w:t xml:space="preserve"> </w:t>
      </w:r>
    </w:p>
    <w:p w14:paraId="6C3F2055" w14:textId="69C456FE" w:rsidR="00210849" w:rsidRDefault="0003598E" w:rsidP="002414D7">
      <w:pPr>
        <w:jc w:val="both"/>
        <w:rPr>
          <w:sz w:val="19"/>
          <w:szCs w:val="19"/>
        </w:rPr>
      </w:pPr>
      <w:r>
        <w:rPr>
          <w:sz w:val="19"/>
          <w:szCs w:val="19"/>
        </w:rPr>
        <w:t>D</w:t>
      </w:r>
      <w:r w:rsidR="003A0C34">
        <w:rPr>
          <w:sz w:val="19"/>
          <w:szCs w:val="19"/>
        </w:rPr>
        <w:t xml:space="preserve">epuis plusieurs années, les </w:t>
      </w:r>
      <w:r w:rsidR="00840582">
        <w:rPr>
          <w:sz w:val="19"/>
          <w:szCs w:val="19"/>
        </w:rPr>
        <w:t>C</w:t>
      </w:r>
      <w:r w:rsidR="003A0C34">
        <w:rPr>
          <w:sz w:val="19"/>
          <w:szCs w:val="19"/>
        </w:rPr>
        <w:t xml:space="preserve">ollectivités </w:t>
      </w:r>
      <w:r w:rsidR="00840582">
        <w:rPr>
          <w:sz w:val="19"/>
          <w:szCs w:val="19"/>
        </w:rPr>
        <w:t>L</w:t>
      </w:r>
      <w:r w:rsidR="003A0C34">
        <w:rPr>
          <w:sz w:val="19"/>
          <w:szCs w:val="19"/>
        </w:rPr>
        <w:t xml:space="preserve">ocales (Communes, Départements et Régions) subissent les conséquences des « </w:t>
      </w:r>
      <w:r w:rsidR="003A0C34">
        <w:rPr>
          <w:i/>
          <w:iCs/>
          <w:sz w:val="19"/>
          <w:szCs w:val="19"/>
        </w:rPr>
        <w:t xml:space="preserve">réformes des </w:t>
      </w:r>
      <w:r w:rsidR="00840582">
        <w:rPr>
          <w:i/>
          <w:iCs/>
          <w:sz w:val="19"/>
          <w:szCs w:val="19"/>
        </w:rPr>
        <w:t>C</w:t>
      </w:r>
      <w:r w:rsidR="003A0C34">
        <w:rPr>
          <w:i/>
          <w:iCs/>
          <w:sz w:val="19"/>
          <w:szCs w:val="19"/>
        </w:rPr>
        <w:t xml:space="preserve">ollectivités </w:t>
      </w:r>
      <w:r w:rsidR="00840582">
        <w:rPr>
          <w:i/>
          <w:iCs/>
          <w:sz w:val="19"/>
          <w:szCs w:val="19"/>
        </w:rPr>
        <w:t>T</w:t>
      </w:r>
      <w:r w:rsidR="003A0C34">
        <w:rPr>
          <w:i/>
          <w:iCs/>
          <w:sz w:val="19"/>
          <w:szCs w:val="19"/>
        </w:rPr>
        <w:t>erritoriales</w:t>
      </w:r>
      <w:r w:rsidR="003A0C34">
        <w:rPr>
          <w:sz w:val="19"/>
          <w:szCs w:val="19"/>
        </w:rPr>
        <w:t> » (Loi MAPTAM en 2014, loi NOTRE en 2015). Le volet budgétaire de ces réformes a entrainé des baisses permanentes de la Dotation Globale de Fonctionnement (DGF) attribué</w:t>
      </w:r>
      <w:r w:rsidR="003A0C34">
        <w:rPr>
          <w:color w:val="111111"/>
          <w:sz w:val="19"/>
          <w:szCs w:val="19"/>
        </w:rPr>
        <w:t xml:space="preserve">e </w:t>
      </w:r>
      <w:r w:rsidR="003A0C34">
        <w:rPr>
          <w:sz w:val="19"/>
          <w:szCs w:val="19"/>
        </w:rPr>
        <w:t>par l’Etat et impactent</w:t>
      </w:r>
      <w:r w:rsidR="003A0C34">
        <w:rPr>
          <w:color w:val="111111"/>
          <w:sz w:val="19"/>
          <w:szCs w:val="19"/>
        </w:rPr>
        <w:t xml:space="preserve"> ainsi </w:t>
      </w:r>
      <w:r w:rsidR="003A0C34">
        <w:rPr>
          <w:sz w:val="19"/>
          <w:szCs w:val="19"/>
        </w:rPr>
        <w:t xml:space="preserve">directement le développement des </w:t>
      </w:r>
      <w:r w:rsidR="004C4A09">
        <w:rPr>
          <w:sz w:val="19"/>
          <w:szCs w:val="19"/>
        </w:rPr>
        <w:t>S</w:t>
      </w:r>
      <w:r w:rsidR="003A0C34">
        <w:rPr>
          <w:sz w:val="19"/>
          <w:szCs w:val="19"/>
        </w:rPr>
        <w:t xml:space="preserve">ervices </w:t>
      </w:r>
      <w:r w:rsidR="004C4A09">
        <w:rPr>
          <w:sz w:val="19"/>
          <w:szCs w:val="19"/>
        </w:rPr>
        <w:t>P</w:t>
      </w:r>
      <w:r w:rsidR="003A0C34">
        <w:rPr>
          <w:sz w:val="19"/>
          <w:szCs w:val="19"/>
        </w:rPr>
        <w:t xml:space="preserve">ublics et de l’action sociale dont </w:t>
      </w:r>
      <w:r w:rsidR="003A0C34">
        <w:rPr>
          <w:color w:val="111111"/>
          <w:sz w:val="19"/>
          <w:szCs w:val="19"/>
        </w:rPr>
        <w:t>les collectivités</w:t>
      </w:r>
      <w:r w:rsidR="003A0C34">
        <w:rPr>
          <w:color w:val="FF0000"/>
          <w:sz w:val="19"/>
          <w:szCs w:val="19"/>
        </w:rPr>
        <w:t xml:space="preserve"> </w:t>
      </w:r>
      <w:r w:rsidR="003A0C34">
        <w:rPr>
          <w:sz w:val="19"/>
          <w:szCs w:val="19"/>
        </w:rPr>
        <w:t xml:space="preserve">ont la responsabilité. </w:t>
      </w:r>
      <w:r w:rsidR="003A0C34" w:rsidRPr="00460397">
        <w:rPr>
          <w:b/>
          <w:bCs/>
          <w:sz w:val="19"/>
          <w:szCs w:val="19"/>
        </w:rPr>
        <w:t>L</w:t>
      </w:r>
      <w:r w:rsidR="003A0C34" w:rsidRPr="00460397">
        <w:rPr>
          <w:b/>
          <w:bCs/>
          <w:iCs/>
          <w:sz w:val="19"/>
          <w:szCs w:val="19"/>
        </w:rPr>
        <w:t>’évolution de la DGF dans les projets de loi de finance</w:t>
      </w:r>
      <w:r w:rsidR="004C4A09" w:rsidRPr="00460397">
        <w:rPr>
          <w:b/>
          <w:bCs/>
          <w:iCs/>
          <w:sz w:val="19"/>
          <w:szCs w:val="19"/>
        </w:rPr>
        <w:t>s</w:t>
      </w:r>
      <w:r w:rsidR="003A0C34" w:rsidRPr="00460397">
        <w:rPr>
          <w:b/>
          <w:bCs/>
          <w:iCs/>
          <w:sz w:val="19"/>
          <w:szCs w:val="19"/>
        </w:rPr>
        <w:t xml:space="preserve"> révèle ainsi une </w:t>
      </w:r>
      <w:r w:rsidR="00295662" w:rsidRPr="00460397">
        <w:rPr>
          <w:b/>
          <w:bCs/>
          <w:iCs/>
          <w:sz w:val="19"/>
          <w:szCs w:val="19"/>
        </w:rPr>
        <w:t>baisse de 3</w:t>
      </w:r>
      <w:r w:rsidRPr="00460397">
        <w:rPr>
          <w:b/>
          <w:bCs/>
          <w:iCs/>
          <w:sz w:val="19"/>
          <w:szCs w:val="19"/>
        </w:rPr>
        <w:t>4% entre 2013 et 2025</w:t>
      </w:r>
      <w:r w:rsidR="003A0C34" w:rsidRPr="00460397">
        <w:rPr>
          <w:b/>
          <w:bCs/>
          <w:iCs/>
          <w:sz w:val="19"/>
          <w:szCs w:val="19"/>
        </w:rPr>
        <w:t xml:space="preserve"> </w:t>
      </w:r>
      <w:r w:rsidR="003A0C34">
        <w:rPr>
          <w:iCs/>
          <w:color w:val="000000" w:themeColor="text1"/>
          <w:sz w:val="19"/>
          <w:szCs w:val="19"/>
        </w:rPr>
        <w:t>(41,5 milliards</w:t>
      </w:r>
      <w:r>
        <w:rPr>
          <w:iCs/>
          <w:color w:val="000000" w:themeColor="text1"/>
          <w:sz w:val="19"/>
          <w:szCs w:val="19"/>
        </w:rPr>
        <w:t xml:space="preserve"> d’euros</w:t>
      </w:r>
      <w:r w:rsidR="003A0C34">
        <w:rPr>
          <w:iCs/>
          <w:color w:val="000000" w:themeColor="text1"/>
          <w:sz w:val="19"/>
          <w:szCs w:val="19"/>
        </w:rPr>
        <w:t xml:space="preserve"> en 2013 </w:t>
      </w:r>
      <w:r w:rsidR="003A0C34">
        <w:rPr>
          <w:rStyle w:val="Ancredenotedebasdepage"/>
          <w:iCs/>
          <w:color w:val="000000" w:themeColor="text1"/>
          <w:sz w:val="19"/>
          <w:szCs w:val="19"/>
        </w:rPr>
        <w:footnoteReference w:id="1"/>
      </w:r>
      <w:r w:rsidR="003A0C34">
        <w:rPr>
          <w:sz w:val="19"/>
          <w:szCs w:val="19"/>
        </w:rPr>
        <w:t xml:space="preserve"> </w:t>
      </w:r>
      <w:r w:rsidR="003A0C34">
        <w:rPr>
          <w:rFonts w:ascii="Wingdings" w:eastAsia="Wingdings" w:hAnsi="Wingdings" w:cs="Wingdings"/>
          <w:iCs/>
          <w:color w:val="000000" w:themeColor="text1"/>
          <w:sz w:val="19"/>
          <w:szCs w:val="19"/>
        </w:rPr>
        <w:t></w:t>
      </w:r>
      <w:r w:rsidR="00295662">
        <w:rPr>
          <w:iCs/>
          <w:color w:val="000000" w:themeColor="text1"/>
          <w:sz w:val="19"/>
          <w:szCs w:val="19"/>
        </w:rPr>
        <w:t xml:space="preserve"> </w:t>
      </w:r>
      <w:r w:rsidR="00317C09">
        <w:rPr>
          <w:iCs/>
          <w:sz w:val="19"/>
          <w:szCs w:val="19"/>
        </w:rPr>
        <w:t>27</w:t>
      </w:r>
      <w:r>
        <w:rPr>
          <w:iCs/>
          <w:sz w:val="19"/>
          <w:szCs w:val="19"/>
        </w:rPr>
        <w:t>.24 milliards d’euros</w:t>
      </w:r>
      <w:r w:rsidR="00295662" w:rsidRPr="00523C2C">
        <w:rPr>
          <w:iCs/>
          <w:color w:val="FF0000"/>
          <w:sz w:val="19"/>
          <w:szCs w:val="19"/>
        </w:rPr>
        <w:t xml:space="preserve"> </w:t>
      </w:r>
      <w:r w:rsidR="00EC1811">
        <w:rPr>
          <w:iCs/>
          <w:color w:val="000000" w:themeColor="text1"/>
          <w:sz w:val="19"/>
          <w:szCs w:val="19"/>
        </w:rPr>
        <w:t>pour 2025</w:t>
      </w:r>
      <w:r w:rsidR="003A0C34">
        <w:rPr>
          <w:rStyle w:val="Ancredenotedebasdepage"/>
          <w:iCs/>
          <w:color w:val="000000" w:themeColor="text1"/>
          <w:sz w:val="19"/>
          <w:szCs w:val="19"/>
        </w:rPr>
        <w:footnoteReference w:id="2"/>
      </w:r>
      <w:r w:rsidR="003A0C34">
        <w:rPr>
          <w:iCs/>
          <w:color w:val="000000" w:themeColor="text1"/>
          <w:sz w:val="19"/>
          <w:szCs w:val="19"/>
        </w:rPr>
        <w:t>).</w:t>
      </w:r>
      <w:r w:rsidR="003A0C34">
        <w:rPr>
          <w:sz w:val="19"/>
          <w:szCs w:val="19"/>
        </w:rPr>
        <w:t xml:space="preserve"> </w:t>
      </w:r>
    </w:p>
    <w:p w14:paraId="537777BC" w14:textId="730F8210" w:rsidR="0003598E" w:rsidRDefault="0003598E" w:rsidP="002414D7">
      <w:pPr>
        <w:jc w:val="both"/>
        <w:rPr>
          <w:sz w:val="19"/>
          <w:szCs w:val="19"/>
        </w:rPr>
      </w:pPr>
      <w:r>
        <w:rPr>
          <w:sz w:val="19"/>
          <w:szCs w:val="19"/>
        </w:rPr>
        <w:t xml:space="preserve">De plus, le Projet de Loi de Finances (PLF) 2025 prévoit une baisse de recettes de </w:t>
      </w:r>
      <w:r w:rsidRPr="00A6760A">
        <w:rPr>
          <w:b/>
          <w:sz w:val="19"/>
          <w:szCs w:val="19"/>
        </w:rPr>
        <w:t xml:space="preserve">5 milliards d’euros pour les </w:t>
      </w:r>
      <w:r w:rsidR="00840582">
        <w:rPr>
          <w:b/>
          <w:sz w:val="19"/>
          <w:szCs w:val="19"/>
        </w:rPr>
        <w:t>C</w:t>
      </w:r>
      <w:r w:rsidRPr="00A6760A">
        <w:rPr>
          <w:b/>
          <w:sz w:val="19"/>
          <w:szCs w:val="19"/>
        </w:rPr>
        <w:t xml:space="preserve">ollectivités </w:t>
      </w:r>
      <w:r w:rsidR="00840582">
        <w:rPr>
          <w:b/>
          <w:sz w:val="19"/>
          <w:szCs w:val="19"/>
        </w:rPr>
        <w:t>T</w:t>
      </w:r>
      <w:r w:rsidRPr="00A6760A">
        <w:rPr>
          <w:b/>
          <w:sz w:val="19"/>
          <w:szCs w:val="19"/>
        </w:rPr>
        <w:t>erritoriales</w:t>
      </w:r>
      <w:r>
        <w:rPr>
          <w:sz w:val="19"/>
          <w:szCs w:val="19"/>
        </w:rPr>
        <w:t>. C’est une cure d’austérité insupportable</w:t>
      </w:r>
      <w:r w:rsidR="00A6760A">
        <w:rPr>
          <w:sz w:val="19"/>
          <w:szCs w:val="19"/>
        </w:rPr>
        <w:t>.</w:t>
      </w:r>
      <w:r>
        <w:rPr>
          <w:sz w:val="19"/>
          <w:szCs w:val="19"/>
        </w:rPr>
        <w:t xml:space="preserve"> Nous refuserons que nos élèves paient le coût de ces choix irresponsables, car d’autres solutions existent pour permettre le développement des Services Publics. </w:t>
      </w:r>
    </w:p>
    <w:p w14:paraId="4CC84D32" w14:textId="7D3ADF15" w:rsidR="00210849" w:rsidRDefault="0003598E" w:rsidP="002414D7">
      <w:pPr>
        <w:jc w:val="both"/>
        <w:rPr>
          <w:sz w:val="19"/>
          <w:szCs w:val="19"/>
        </w:rPr>
      </w:pPr>
      <w:r>
        <w:rPr>
          <w:sz w:val="19"/>
          <w:szCs w:val="19"/>
        </w:rPr>
        <w:t>Par ailleurs</w:t>
      </w:r>
      <w:r w:rsidR="003A0C34">
        <w:rPr>
          <w:sz w:val="19"/>
          <w:szCs w:val="19"/>
        </w:rPr>
        <w:t xml:space="preserve">, la libéralisation du marché de l’énergie depuis les années 1990 en Europe entraine une explosion des coûts de fonctionnement pour les collectivités. En effet, le « dogme du marché » a fait grimper le prix de l’électricité alors que son coût de production en France est resté relativement stable. </w:t>
      </w:r>
    </w:p>
    <w:p w14:paraId="3B465BCB" w14:textId="7B31EEF9" w:rsidR="00210849" w:rsidRDefault="00A6760A" w:rsidP="002414D7">
      <w:pPr>
        <w:jc w:val="both"/>
        <w:rPr>
          <w:sz w:val="19"/>
          <w:szCs w:val="19"/>
        </w:rPr>
      </w:pPr>
      <w:r>
        <w:rPr>
          <w:sz w:val="19"/>
          <w:szCs w:val="19"/>
        </w:rPr>
        <w:t>Enfin, si</w:t>
      </w:r>
      <w:r w:rsidR="0003598E">
        <w:rPr>
          <w:sz w:val="19"/>
          <w:szCs w:val="19"/>
        </w:rPr>
        <w:t xml:space="preserve"> l’inflation ralenti</w:t>
      </w:r>
      <w:r w:rsidR="00FD46D1">
        <w:rPr>
          <w:sz w:val="19"/>
          <w:szCs w:val="19"/>
        </w:rPr>
        <w:t>t</w:t>
      </w:r>
      <w:r w:rsidR="0003598E">
        <w:rPr>
          <w:sz w:val="19"/>
          <w:szCs w:val="19"/>
        </w:rPr>
        <w:t xml:space="preserve"> en 2024 à 1.10% selon l’Insee,</w:t>
      </w:r>
      <w:r>
        <w:rPr>
          <w:sz w:val="19"/>
          <w:szCs w:val="19"/>
        </w:rPr>
        <w:t xml:space="preserve"> elle doit être prise en compte. </w:t>
      </w:r>
    </w:p>
    <w:p w14:paraId="153C526A" w14:textId="77777777" w:rsidR="00210849" w:rsidRDefault="003A0C34" w:rsidP="002414D7">
      <w:pPr>
        <w:jc w:val="both"/>
        <w:rPr>
          <w:b/>
          <w:bCs/>
          <w:sz w:val="19"/>
          <w:szCs w:val="19"/>
          <w:u w:val="single"/>
        </w:rPr>
      </w:pPr>
      <w:r>
        <w:rPr>
          <w:b/>
          <w:bCs/>
          <w:sz w:val="19"/>
          <w:szCs w:val="19"/>
          <w:u w:val="single"/>
        </w:rPr>
        <w:t>Situation économique</w:t>
      </w:r>
    </w:p>
    <w:p w14:paraId="463273EA" w14:textId="438FFE7F" w:rsidR="00210849" w:rsidRDefault="00A6760A" w:rsidP="002414D7">
      <w:pPr>
        <w:jc w:val="both"/>
        <w:rPr>
          <w:sz w:val="19"/>
          <w:szCs w:val="19"/>
        </w:rPr>
      </w:pPr>
      <w:r>
        <w:rPr>
          <w:sz w:val="19"/>
          <w:szCs w:val="19"/>
        </w:rPr>
        <w:t>A</w:t>
      </w:r>
      <w:r w:rsidR="003A0C34">
        <w:rPr>
          <w:sz w:val="19"/>
          <w:szCs w:val="19"/>
        </w:rPr>
        <w:t xml:space="preserve">u niveau économique, il est possible d’investir massivement pour le </w:t>
      </w:r>
      <w:r w:rsidR="004C4A09">
        <w:rPr>
          <w:sz w:val="19"/>
          <w:szCs w:val="19"/>
        </w:rPr>
        <w:t>S</w:t>
      </w:r>
      <w:r w:rsidR="003A0C34">
        <w:rPr>
          <w:sz w:val="19"/>
          <w:szCs w:val="19"/>
        </w:rPr>
        <w:t xml:space="preserve">ervice </w:t>
      </w:r>
      <w:r w:rsidR="004C4A09">
        <w:rPr>
          <w:sz w:val="19"/>
          <w:szCs w:val="19"/>
        </w:rPr>
        <w:t>P</w:t>
      </w:r>
      <w:r w:rsidR="003A0C34">
        <w:rPr>
          <w:sz w:val="19"/>
          <w:szCs w:val="19"/>
        </w:rPr>
        <w:t>ublic d’</w:t>
      </w:r>
      <w:r w:rsidR="004C4A09">
        <w:rPr>
          <w:sz w:val="19"/>
          <w:szCs w:val="19"/>
        </w:rPr>
        <w:t>E</w:t>
      </w:r>
      <w:r w:rsidR="003A0C34">
        <w:rPr>
          <w:sz w:val="19"/>
          <w:szCs w:val="19"/>
        </w:rPr>
        <w:t xml:space="preserve">ducation, comme pour d’autres services publics qui en ont bien besoin (hospitaliers, pompiers, agents ONF, des impôts…), ce n’est pas l’argent qui manque : la France </w:t>
      </w:r>
      <w:proofErr w:type="gramStart"/>
      <w:r w:rsidR="003A0C34">
        <w:rPr>
          <w:sz w:val="19"/>
          <w:szCs w:val="19"/>
        </w:rPr>
        <w:t>est  «</w:t>
      </w:r>
      <w:proofErr w:type="gramEnd"/>
      <w:r w:rsidR="003A0C34">
        <w:rPr>
          <w:sz w:val="19"/>
          <w:szCs w:val="19"/>
        </w:rPr>
        <w:t> championne d’Europe » pour le versement de dividendes et conforte sa place de leader européen en la matière</w:t>
      </w:r>
      <w:r w:rsidR="003A0C34">
        <w:rPr>
          <w:rStyle w:val="Ancredenotedebasdepage"/>
          <w:sz w:val="19"/>
          <w:szCs w:val="19"/>
        </w:rPr>
        <w:footnoteReference w:id="3"/>
      </w:r>
      <w:r w:rsidR="003A0C34">
        <w:rPr>
          <w:sz w:val="19"/>
          <w:szCs w:val="19"/>
        </w:rPr>
        <w:t xml:space="preserve">. De plus, l’accumulation de richesse par les grandes fortunes s’accélère en France.  L’argent détenu par les 500 familles les plus riches a dépassé </w:t>
      </w:r>
      <w:r w:rsidR="00295662">
        <w:rPr>
          <w:sz w:val="19"/>
          <w:szCs w:val="19"/>
        </w:rPr>
        <w:t xml:space="preserve">est de 1 </w:t>
      </w:r>
      <w:r>
        <w:rPr>
          <w:sz w:val="19"/>
          <w:szCs w:val="19"/>
        </w:rPr>
        <w:t>200</w:t>
      </w:r>
      <w:r w:rsidR="00295662">
        <w:rPr>
          <w:sz w:val="19"/>
          <w:szCs w:val="19"/>
        </w:rPr>
        <w:t xml:space="preserve"> milliards d’euros en 202</w:t>
      </w:r>
      <w:r>
        <w:rPr>
          <w:sz w:val="19"/>
          <w:szCs w:val="19"/>
        </w:rPr>
        <w:t>4</w:t>
      </w:r>
      <w:r w:rsidR="003A0C34">
        <w:rPr>
          <w:sz w:val="19"/>
          <w:szCs w:val="19"/>
        </w:rPr>
        <w:t xml:space="preserve"> (Cha</w:t>
      </w:r>
      <w:r>
        <w:rPr>
          <w:sz w:val="19"/>
          <w:szCs w:val="19"/>
        </w:rPr>
        <w:t>llenges, 2024)</w:t>
      </w:r>
      <w:r w:rsidR="003A0C34">
        <w:rPr>
          <w:sz w:val="19"/>
          <w:szCs w:val="19"/>
        </w:rPr>
        <w:t>. Au regard du PIB, la fortune des 500 familles représentait 6% du PIB français en 1996, 20% en 2017 et 4</w:t>
      </w:r>
      <w:r>
        <w:rPr>
          <w:sz w:val="19"/>
          <w:szCs w:val="19"/>
        </w:rPr>
        <w:t>5% en 2024</w:t>
      </w:r>
      <w:r w:rsidR="00CD3378">
        <w:rPr>
          <w:sz w:val="19"/>
          <w:szCs w:val="19"/>
        </w:rPr>
        <w:t xml:space="preserve"> </w:t>
      </w:r>
      <w:r w:rsidR="003A0C34">
        <w:rPr>
          <w:sz w:val="19"/>
          <w:szCs w:val="19"/>
        </w:rPr>
        <w:t xml:space="preserve">!  </w:t>
      </w:r>
    </w:p>
    <w:p w14:paraId="225BFA02" w14:textId="2AC9C886" w:rsidR="00A6760A" w:rsidRDefault="00A6760A" w:rsidP="002414D7">
      <w:pPr>
        <w:jc w:val="both"/>
        <w:rPr>
          <w:sz w:val="19"/>
          <w:szCs w:val="19"/>
        </w:rPr>
      </w:pPr>
      <w:r>
        <w:rPr>
          <w:sz w:val="19"/>
          <w:szCs w:val="19"/>
        </w:rPr>
        <w:t>La commission des finances à l’Assemblée Nationale a d’ailleurs fait la démonstration qu’il était possible de « trouver 60 milliards d’euros »</w:t>
      </w:r>
      <w:r w:rsidR="00855677">
        <w:rPr>
          <w:sz w:val="19"/>
          <w:szCs w:val="19"/>
        </w:rPr>
        <w:t xml:space="preserve"> (montant demandé par le Premier Ministre)</w:t>
      </w:r>
      <w:r>
        <w:rPr>
          <w:sz w:val="19"/>
          <w:szCs w:val="19"/>
        </w:rPr>
        <w:t xml:space="preserve"> sans s’en prendre aux Services Publics (</w:t>
      </w:r>
      <w:r w:rsidR="00840582">
        <w:rPr>
          <w:sz w:val="19"/>
          <w:szCs w:val="19"/>
        </w:rPr>
        <w:t>C</w:t>
      </w:r>
      <w:r>
        <w:rPr>
          <w:sz w:val="19"/>
          <w:szCs w:val="19"/>
        </w:rPr>
        <w:t xml:space="preserve">ollectivités </w:t>
      </w:r>
      <w:r w:rsidR="00840582">
        <w:rPr>
          <w:sz w:val="19"/>
          <w:szCs w:val="19"/>
        </w:rPr>
        <w:t>T</w:t>
      </w:r>
      <w:r>
        <w:rPr>
          <w:sz w:val="19"/>
          <w:szCs w:val="19"/>
        </w:rPr>
        <w:t xml:space="preserve">erritoriales et ministères). </w:t>
      </w:r>
      <w:r w:rsidR="00855677">
        <w:rPr>
          <w:sz w:val="19"/>
          <w:szCs w:val="19"/>
        </w:rPr>
        <w:t xml:space="preserve">Une meilleure répartition des richesses est donc possible… Et souhaitable pour l’avenir des établissements publics. </w:t>
      </w:r>
    </w:p>
    <w:p w14:paraId="1BE74594" w14:textId="77777777" w:rsidR="00A6760A" w:rsidRPr="00317C09" w:rsidRDefault="00A6760A" w:rsidP="002414D7">
      <w:pPr>
        <w:jc w:val="both"/>
        <w:rPr>
          <w:color w:val="FF0000"/>
          <w:sz w:val="19"/>
          <w:szCs w:val="19"/>
        </w:rPr>
      </w:pPr>
      <w:r>
        <w:rPr>
          <w:color w:val="000000"/>
          <w:sz w:val="19"/>
          <w:szCs w:val="19"/>
        </w:rPr>
        <w:t>C’est avec l’ensemble de ces analyses, et parce que nous portons la volonté d’un Service Public d’Education de qualité, que nous aborderons les débats sur le budget 2025 de notre établissement.</w:t>
      </w:r>
    </w:p>
    <w:sectPr w:rsidR="00A6760A" w:rsidRPr="00317C09">
      <w:pgSz w:w="11906" w:h="16838"/>
      <w:pgMar w:top="720" w:right="720" w:bottom="720" w:left="72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8D43" w14:textId="77777777" w:rsidR="009F5532" w:rsidRDefault="009F5532">
      <w:pPr>
        <w:spacing w:after="0" w:line="240" w:lineRule="auto"/>
      </w:pPr>
      <w:r>
        <w:separator/>
      </w:r>
    </w:p>
  </w:endnote>
  <w:endnote w:type="continuationSeparator" w:id="0">
    <w:p w14:paraId="62FF65B1" w14:textId="77777777" w:rsidR="009F5532" w:rsidRDefault="009F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FA3BA" w14:textId="77777777" w:rsidR="009F5532" w:rsidRDefault="009F5532">
      <w:r>
        <w:separator/>
      </w:r>
    </w:p>
  </w:footnote>
  <w:footnote w:type="continuationSeparator" w:id="0">
    <w:p w14:paraId="015EF4B6" w14:textId="77777777" w:rsidR="009F5532" w:rsidRDefault="009F5532">
      <w:r>
        <w:continuationSeparator/>
      </w:r>
    </w:p>
  </w:footnote>
  <w:footnote w:id="1">
    <w:p w14:paraId="08CDB509" w14:textId="77777777" w:rsidR="00210849" w:rsidRPr="00F2701D" w:rsidRDefault="003A0C34">
      <w:pPr>
        <w:pStyle w:val="Titre1"/>
        <w:spacing w:beforeAutospacing="0" w:after="0" w:afterAutospacing="0"/>
        <w:rPr>
          <w:rFonts w:asciiTheme="minorHAnsi" w:hAnsiTheme="minorHAnsi" w:cstheme="minorHAnsi"/>
          <w:sz w:val="19"/>
          <w:szCs w:val="19"/>
        </w:rPr>
      </w:pPr>
      <w:r w:rsidRPr="00F2701D">
        <w:rPr>
          <w:rStyle w:val="Caractresdenotedebasdepage"/>
          <w:rFonts w:asciiTheme="minorHAnsi" w:hAnsiTheme="minorHAnsi" w:cstheme="minorHAnsi"/>
          <w:sz w:val="19"/>
          <w:szCs w:val="19"/>
        </w:rPr>
        <w:footnoteRef/>
      </w:r>
      <w:r w:rsidRPr="00F2701D">
        <w:rPr>
          <w:rFonts w:asciiTheme="minorHAnsi" w:eastAsiaTheme="minorHAnsi" w:hAnsiTheme="minorHAnsi" w:cstheme="minorHAnsi"/>
          <w:b w:val="0"/>
          <w:bCs w:val="0"/>
          <w:kern w:val="0"/>
          <w:sz w:val="19"/>
          <w:szCs w:val="19"/>
          <w:lang w:eastAsia="en-US"/>
        </w:rPr>
        <w:t xml:space="preserve"> Article du Monde, 07/2017, </w:t>
      </w:r>
      <w:hyperlink r:id="rId1">
        <w:r w:rsidRPr="00F2701D">
          <w:rPr>
            <w:rStyle w:val="LienInternet"/>
            <w:rFonts w:asciiTheme="minorHAnsi" w:eastAsiaTheme="minorHAnsi" w:hAnsiTheme="minorHAnsi" w:cstheme="minorHAnsi"/>
            <w:b w:val="0"/>
            <w:bCs w:val="0"/>
            <w:i/>
            <w:iCs/>
            <w:kern w:val="0"/>
            <w:sz w:val="19"/>
            <w:szCs w:val="19"/>
            <w:lang w:eastAsia="en-US"/>
          </w:rPr>
          <w:t>Les réformes qui ont bouleversé les collectivités territoriales en dix ans</w:t>
        </w:r>
      </w:hyperlink>
    </w:p>
  </w:footnote>
  <w:footnote w:id="2">
    <w:p w14:paraId="56A6DA68" w14:textId="474FB6B3" w:rsidR="00210849" w:rsidRPr="00F2701D" w:rsidRDefault="003A0C34">
      <w:pPr>
        <w:pStyle w:val="Titre1"/>
        <w:spacing w:beforeAutospacing="0" w:after="0" w:afterAutospacing="0"/>
        <w:rPr>
          <w:rFonts w:asciiTheme="minorHAnsi" w:hAnsiTheme="minorHAnsi" w:cstheme="minorHAnsi"/>
          <w:i/>
          <w:iCs/>
          <w:sz w:val="19"/>
          <w:szCs w:val="19"/>
        </w:rPr>
      </w:pPr>
      <w:r w:rsidRPr="00F2701D">
        <w:rPr>
          <w:rStyle w:val="Caractresdenotedebasdepage"/>
          <w:rFonts w:asciiTheme="minorHAnsi" w:hAnsiTheme="minorHAnsi" w:cstheme="minorHAnsi"/>
          <w:sz w:val="19"/>
          <w:szCs w:val="19"/>
        </w:rPr>
        <w:footnoteRef/>
      </w:r>
      <w:r w:rsidRPr="00F2701D">
        <w:rPr>
          <w:rStyle w:val="FootnoteCharacters"/>
          <w:rFonts w:asciiTheme="minorHAnsi" w:hAnsiTheme="minorHAnsi" w:cstheme="minorHAnsi"/>
          <w:sz w:val="19"/>
          <w:szCs w:val="19"/>
          <w:lang w:eastAsia="en-US"/>
        </w:rPr>
        <w:t xml:space="preserve"> </w:t>
      </w:r>
      <w:r w:rsidR="00523C2C" w:rsidRPr="00F2701D">
        <w:rPr>
          <w:rFonts w:asciiTheme="minorHAnsi" w:eastAsiaTheme="minorHAnsi" w:hAnsiTheme="minorHAnsi" w:cstheme="minorHAnsi"/>
          <w:b w:val="0"/>
          <w:bCs w:val="0"/>
          <w:kern w:val="0"/>
          <w:sz w:val="19"/>
          <w:szCs w:val="19"/>
          <w:lang w:eastAsia="en-US"/>
        </w:rPr>
        <w:t>Projet de loi d</w:t>
      </w:r>
      <w:r w:rsidR="00A6760A" w:rsidRPr="00F2701D">
        <w:rPr>
          <w:rFonts w:asciiTheme="minorHAnsi" w:eastAsiaTheme="minorHAnsi" w:hAnsiTheme="minorHAnsi" w:cstheme="minorHAnsi"/>
          <w:b w:val="0"/>
          <w:bCs w:val="0"/>
          <w:kern w:val="0"/>
          <w:sz w:val="19"/>
          <w:szCs w:val="19"/>
          <w:lang w:eastAsia="en-US"/>
        </w:rPr>
        <w:t>e finances 2025</w:t>
      </w:r>
      <w:r w:rsidR="00523C2C" w:rsidRPr="00F2701D">
        <w:rPr>
          <w:rFonts w:asciiTheme="minorHAnsi" w:eastAsiaTheme="minorHAnsi" w:hAnsiTheme="minorHAnsi" w:cstheme="minorHAnsi"/>
          <w:b w:val="0"/>
          <w:bCs w:val="0"/>
          <w:kern w:val="0"/>
          <w:sz w:val="19"/>
          <w:szCs w:val="19"/>
          <w:lang w:eastAsia="en-US"/>
        </w:rPr>
        <w:t xml:space="preserve">, </w:t>
      </w:r>
      <w:hyperlink r:id="rId2" w:history="1">
        <w:r w:rsidR="00523C2C" w:rsidRPr="00F2701D">
          <w:rPr>
            <w:rStyle w:val="Lienhypertexte"/>
            <w:rFonts w:asciiTheme="minorHAnsi" w:eastAsiaTheme="minorHAnsi" w:hAnsiTheme="minorHAnsi" w:cstheme="minorHAnsi"/>
            <w:b w:val="0"/>
            <w:bCs w:val="0"/>
            <w:i/>
            <w:iCs/>
            <w:kern w:val="0"/>
            <w:sz w:val="19"/>
            <w:szCs w:val="19"/>
            <w:lang w:eastAsia="en-US"/>
          </w:rPr>
          <w:t>PLF 2024</w:t>
        </w:r>
      </w:hyperlink>
    </w:p>
  </w:footnote>
  <w:footnote w:id="3">
    <w:p w14:paraId="5A15B434" w14:textId="1B2635AD" w:rsidR="00210849" w:rsidRPr="00F46A58" w:rsidRDefault="003A0C34">
      <w:pPr>
        <w:pStyle w:val="Titre1"/>
        <w:spacing w:beforeAutospacing="0" w:after="0" w:afterAutospacing="0"/>
        <w:rPr>
          <w:rFonts w:asciiTheme="minorHAnsi" w:hAnsiTheme="minorHAnsi" w:cstheme="minorHAnsi"/>
          <w:b w:val="0"/>
          <w:bCs w:val="0"/>
          <w:i/>
          <w:iCs/>
          <w:sz w:val="19"/>
          <w:szCs w:val="19"/>
        </w:rPr>
      </w:pPr>
      <w:r w:rsidRPr="00F2701D">
        <w:rPr>
          <w:rStyle w:val="Caractresdenotedebasdepage"/>
          <w:rFonts w:asciiTheme="minorHAnsi" w:hAnsiTheme="minorHAnsi" w:cstheme="minorHAnsi"/>
          <w:sz w:val="19"/>
          <w:szCs w:val="19"/>
        </w:rPr>
        <w:footnoteRef/>
      </w:r>
      <w:r w:rsidRPr="00F2701D">
        <w:rPr>
          <w:rFonts w:asciiTheme="minorHAnsi" w:hAnsiTheme="minorHAnsi" w:cstheme="minorHAnsi"/>
          <w:sz w:val="19"/>
          <w:szCs w:val="19"/>
        </w:rPr>
        <w:t xml:space="preserve"> </w:t>
      </w:r>
      <w:r w:rsidR="00855677" w:rsidRPr="00F2701D">
        <w:rPr>
          <w:rFonts w:asciiTheme="minorHAnsi" w:hAnsiTheme="minorHAnsi" w:cstheme="minorHAnsi"/>
          <w:b w:val="0"/>
          <w:bCs w:val="0"/>
          <w:sz w:val="19"/>
          <w:szCs w:val="19"/>
        </w:rPr>
        <w:t>La Tribune</w:t>
      </w:r>
      <w:r w:rsidR="00855677" w:rsidRPr="00F2701D">
        <w:rPr>
          <w:rFonts w:asciiTheme="minorHAnsi" w:hAnsiTheme="minorHAnsi" w:cstheme="minorHAnsi"/>
          <w:sz w:val="19"/>
          <w:szCs w:val="19"/>
        </w:rPr>
        <w:t xml:space="preserve"> </w:t>
      </w:r>
      <w:hyperlink r:id="rId3" w:history="1">
        <w:r w:rsidR="00855677" w:rsidRPr="00F46A58">
          <w:rPr>
            <w:rStyle w:val="Lienhypertexte"/>
            <w:rFonts w:asciiTheme="minorHAnsi" w:hAnsiTheme="minorHAnsi" w:cstheme="minorHAnsi"/>
            <w:b w:val="0"/>
            <w:bCs w:val="0"/>
            <w:i/>
            <w:iCs/>
            <w:sz w:val="19"/>
            <w:szCs w:val="19"/>
          </w:rPr>
          <w:t>https://www.latribune.fr/economie/france/la-france-est-championne-d-europe-des-dividendes-au-deuxieme-trimestre-1006053.html</w:t>
        </w:r>
      </w:hyperlink>
    </w:p>
    <w:p w14:paraId="6169D9D0" w14:textId="17618AC7" w:rsidR="00855677" w:rsidRPr="00F2701D" w:rsidRDefault="00855677">
      <w:pPr>
        <w:pStyle w:val="Titre1"/>
        <w:spacing w:beforeAutospacing="0" w:after="0" w:afterAutospacing="0"/>
        <w:rPr>
          <w:rFonts w:asciiTheme="minorHAnsi" w:hAnsiTheme="minorHAnsi" w:cstheme="minorHAnsi"/>
          <w:i/>
          <w:iCs/>
          <w:sz w:val="19"/>
          <w:szCs w:val="19"/>
        </w:rPr>
      </w:pPr>
      <w:r w:rsidRPr="00F2701D">
        <w:rPr>
          <w:rFonts w:asciiTheme="minorHAnsi" w:hAnsiTheme="minorHAnsi" w:cstheme="minorHAnsi"/>
          <w:sz w:val="19"/>
          <w:szCs w:val="19"/>
        </w:rPr>
        <w:t xml:space="preserve">4 </w:t>
      </w:r>
      <w:r w:rsidR="00F2701D" w:rsidRPr="00F2701D">
        <w:rPr>
          <w:rFonts w:asciiTheme="minorHAnsi" w:hAnsiTheme="minorHAnsi" w:cstheme="minorHAnsi"/>
          <w:b w:val="0"/>
          <w:bCs w:val="0"/>
          <w:sz w:val="19"/>
          <w:szCs w:val="19"/>
        </w:rPr>
        <w:t>R</w:t>
      </w:r>
      <w:r w:rsidRPr="00F2701D">
        <w:rPr>
          <w:rFonts w:asciiTheme="minorHAnsi" w:hAnsiTheme="minorHAnsi" w:cstheme="minorHAnsi"/>
          <w:b w:val="0"/>
          <w:bCs w:val="0"/>
          <w:sz w:val="19"/>
          <w:szCs w:val="19"/>
        </w:rPr>
        <w:t>evue Challenges n° 839, juillet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49"/>
    <w:rsid w:val="0003598E"/>
    <w:rsid w:val="00130560"/>
    <w:rsid w:val="001E6A58"/>
    <w:rsid w:val="00210849"/>
    <w:rsid w:val="00234D8E"/>
    <w:rsid w:val="002414D7"/>
    <w:rsid w:val="00295662"/>
    <w:rsid w:val="0030300A"/>
    <w:rsid w:val="00317C09"/>
    <w:rsid w:val="003A0C34"/>
    <w:rsid w:val="003B1321"/>
    <w:rsid w:val="00460397"/>
    <w:rsid w:val="004C4A09"/>
    <w:rsid w:val="00523C2C"/>
    <w:rsid w:val="00561D6B"/>
    <w:rsid w:val="005C7EE2"/>
    <w:rsid w:val="00602C0E"/>
    <w:rsid w:val="006D0344"/>
    <w:rsid w:val="007102C2"/>
    <w:rsid w:val="007447C4"/>
    <w:rsid w:val="00787295"/>
    <w:rsid w:val="00840582"/>
    <w:rsid w:val="00855677"/>
    <w:rsid w:val="008B21A1"/>
    <w:rsid w:val="008E4F06"/>
    <w:rsid w:val="009B1EE8"/>
    <w:rsid w:val="009F5532"/>
    <w:rsid w:val="00A61A9F"/>
    <w:rsid w:val="00A6760A"/>
    <w:rsid w:val="00C3664F"/>
    <w:rsid w:val="00CD3378"/>
    <w:rsid w:val="00CF5237"/>
    <w:rsid w:val="00EC1811"/>
    <w:rsid w:val="00EF3DAB"/>
    <w:rsid w:val="00F2701D"/>
    <w:rsid w:val="00F46A58"/>
    <w:rsid w:val="00FD46D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4DFE"/>
  <w15:docId w15:val="{35FCC062-035B-45FC-85EE-E1A25890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Titre1">
    <w:name w:val="heading 1"/>
    <w:basedOn w:val="Normal"/>
    <w:link w:val="Titre1Car"/>
    <w:uiPriority w:val="9"/>
    <w:qFormat/>
    <w:rsid w:val="00F502EF"/>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2">
    <w:name w:val="heading 2"/>
    <w:basedOn w:val="Normal"/>
    <w:next w:val="Normal"/>
    <w:link w:val="Titre2Car"/>
    <w:uiPriority w:val="9"/>
    <w:unhideWhenUsed/>
    <w:qFormat/>
    <w:rsid w:val="006166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F502EF"/>
    <w:rPr>
      <w:color w:val="0563C1" w:themeColor="hyperlink"/>
      <w:u w:val="single"/>
    </w:rPr>
  </w:style>
  <w:style w:type="character" w:customStyle="1" w:styleId="ListLabel1">
    <w:name w:val="ListLabel 1"/>
    <w:qFormat/>
    <w:rPr>
      <w:b/>
      <w:szCs w:val="20"/>
    </w:rPr>
  </w:style>
  <w:style w:type="character" w:customStyle="1" w:styleId="ListLabel2">
    <w:name w:val="ListLabel 2"/>
    <w:qFormat/>
  </w:style>
  <w:style w:type="character" w:customStyle="1" w:styleId="NotedebasdepageCar">
    <w:name w:val="Note de bas de page Car"/>
    <w:basedOn w:val="Policepardfaut"/>
    <w:link w:val="Notedebasdepage"/>
    <w:uiPriority w:val="99"/>
    <w:semiHidden/>
    <w:qFormat/>
    <w:rsid w:val="00F502EF"/>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F502EF"/>
    <w:rPr>
      <w:vertAlign w:val="superscript"/>
    </w:rPr>
  </w:style>
  <w:style w:type="character" w:customStyle="1" w:styleId="Titre1Car">
    <w:name w:val="Titre 1 Car"/>
    <w:basedOn w:val="Policepardfaut"/>
    <w:link w:val="Titre1"/>
    <w:uiPriority w:val="9"/>
    <w:qFormat/>
    <w:rsid w:val="00F502EF"/>
    <w:rPr>
      <w:rFonts w:ascii="Times New Roman" w:eastAsia="Times New Roman" w:hAnsi="Times New Roman" w:cs="Times New Roman"/>
      <w:b/>
      <w:bCs/>
      <w:kern w:val="2"/>
      <w:sz w:val="48"/>
      <w:szCs w:val="48"/>
      <w:lang w:eastAsia="fr-FR"/>
    </w:rPr>
  </w:style>
  <w:style w:type="character" w:customStyle="1" w:styleId="Mentionnonrsolue1">
    <w:name w:val="Mention non résolue1"/>
    <w:basedOn w:val="Policepardfaut"/>
    <w:uiPriority w:val="99"/>
    <w:semiHidden/>
    <w:unhideWhenUsed/>
    <w:qFormat/>
    <w:rsid w:val="00F502EF"/>
    <w:rPr>
      <w:color w:val="605E5C"/>
      <w:shd w:val="clear" w:color="auto" w:fill="E1DFDD"/>
    </w:rPr>
  </w:style>
  <w:style w:type="character" w:customStyle="1" w:styleId="En-tteCar">
    <w:name w:val="En-tête Car"/>
    <w:basedOn w:val="Policepardfaut"/>
    <w:uiPriority w:val="99"/>
    <w:qFormat/>
    <w:rsid w:val="000302B9"/>
  </w:style>
  <w:style w:type="character" w:customStyle="1" w:styleId="PieddepageCar">
    <w:name w:val="Pied de page Car"/>
    <w:basedOn w:val="Policepardfaut"/>
    <w:link w:val="Pieddepage"/>
    <w:uiPriority w:val="99"/>
    <w:qFormat/>
    <w:rsid w:val="000302B9"/>
  </w:style>
  <w:style w:type="character" w:styleId="Lienhypertextesuivivisit">
    <w:name w:val="FollowedHyperlink"/>
    <w:basedOn w:val="Policepardfaut"/>
    <w:uiPriority w:val="99"/>
    <w:semiHidden/>
    <w:unhideWhenUsed/>
    <w:qFormat/>
    <w:rsid w:val="000302B9"/>
    <w:rPr>
      <w:color w:val="954F72" w:themeColor="followedHyperlink"/>
      <w:u w:val="single"/>
    </w:rPr>
  </w:style>
  <w:style w:type="character" w:customStyle="1" w:styleId="style-scope">
    <w:name w:val="style-scope"/>
    <w:basedOn w:val="Policepardfaut"/>
    <w:qFormat/>
    <w:rsid w:val="00B24654"/>
  </w:style>
  <w:style w:type="character" w:customStyle="1" w:styleId="sc-aamjrj-0">
    <w:name w:val="sc-aamjrj-0"/>
    <w:basedOn w:val="Policepardfaut"/>
    <w:qFormat/>
    <w:rsid w:val="00243F5D"/>
  </w:style>
  <w:style w:type="character" w:customStyle="1" w:styleId="Titre2Car">
    <w:name w:val="Titre 2 Car"/>
    <w:basedOn w:val="Policepardfaut"/>
    <w:link w:val="Titre2"/>
    <w:uiPriority w:val="9"/>
    <w:qFormat/>
    <w:rsid w:val="00616617"/>
    <w:rPr>
      <w:rFonts w:asciiTheme="majorHAnsi" w:eastAsiaTheme="majorEastAsia" w:hAnsiTheme="majorHAnsi" w:cstheme="majorBidi"/>
      <w:color w:val="2E74B5" w:themeColor="accent1" w:themeShade="BF"/>
      <w:sz w:val="26"/>
      <w:szCs w:val="26"/>
    </w:rPr>
  </w:style>
  <w:style w:type="character" w:customStyle="1" w:styleId="ListLabel3">
    <w:name w:val="ListLabel 3"/>
    <w:qFormat/>
    <w:rPr>
      <w:sz w:val="18"/>
      <w:szCs w:val="18"/>
    </w:rPr>
  </w:style>
  <w:style w:type="character" w:customStyle="1" w:styleId="Caractresdenotedebasdepage">
    <w:name w:val="Caractères de note de bas de page"/>
    <w:qFormat/>
  </w:style>
  <w:style w:type="character" w:customStyle="1" w:styleId="LienInternetvisit">
    <w:name w:val="Lien Internet visité"/>
    <w:rPr>
      <w:color w:val="800000"/>
      <w:u w:val="single"/>
    </w:rPr>
  </w:style>
  <w:style w:type="character" w:styleId="Accentuation">
    <w:name w:val="Emphasis"/>
    <w:qFormat/>
    <w:rPr>
      <w:i/>
      <w:iCs/>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sz w:val="18"/>
      <w:szCs w:val="18"/>
    </w:rPr>
  </w:style>
  <w:style w:type="character" w:customStyle="1" w:styleId="ListLabel5">
    <w:name w:val="ListLabel 5"/>
    <w:qFormat/>
    <w:rPr>
      <w:sz w:val="18"/>
      <w:szCs w:val="18"/>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tedebasdepage">
    <w:name w:val="footnote text"/>
    <w:basedOn w:val="Normal"/>
    <w:link w:val="NotedebasdepageCar"/>
    <w:uiPriority w:val="99"/>
    <w:semiHidden/>
    <w:unhideWhenUsed/>
    <w:rsid w:val="00F502EF"/>
    <w:pPr>
      <w:spacing w:after="0" w:line="240" w:lineRule="auto"/>
    </w:pPr>
    <w:rPr>
      <w:sz w:val="20"/>
      <w:szCs w:val="20"/>
    </w:rPr>
  </w:style>
  <w:style w:type="paragraph" w:styleId="En-tte">
    <w:name w:val="header"/>
    <w:basedOn w:val="Normal"/>
    <w:uiPriority w:val="99"/>
    <w:unhideWhenUsed/>
    <w:rsid w:val="000302B9"/>
    <w:pPr>
      <w:tabs>
        <w:tab w:val="center" w:pos="4536"/>
        <w:tab w:val="right" w:pos="9072"/>
      </w:tabs>
      <w:spacing w:after="0" w:line="240" w:lineRule="auto"/>
    </w:pPr>
  </w:style>
  <w:style w:type="paragraph" w:styleId="Pieddepage">
    <w:name w:val="footer"/>
    <w:basedOn w:val="Normal"/>
    <w:link w:val="PieddepageCar"/>
    <w:uiPriority w:val="99"/>
    <w:unhideWhenUsed/>
    <w:rsid w:val="000302B9"/>
    <w:pPr>
      <w:tabs>
        <w:tab w:val="center" w:pos="4536"/>
        <w:tab w:val="right" w:pos="9072"/>
      </w:tabs>
      <w:spacing w:after="0" w:line="240" w:lineRule="auto"/>
    </w:pPr>
  </w:style>
  <w:style w:type="paragraph" w:styleId="NormalWeb">
    <w:name w:val="Normal (Web)"/>
    <w:basedOn w:val="Normal"/>
    <w:uiPriority w:val="99"/>
    <w:semiHidden/>
    <w:unhideWhenUsed/>
    <w:qFormat/>
    <w:rsid w:val="006C09A6"/>
    <w:pPr>
      <w:spacing w:beforeAutospacing="1"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23C2C"/>
    <w:rPr>
      <w:color w:val="0563C1" w:themeColor="hyperlink"/>
      <w:u w:val="single"/>
    </w:rPr>
  </w:style>
  <w:style w:type="character" w:customStyle="1" w:styleId="Mentionnonrsolue2">
    <w:name w:val="Mention non résolue2"/>
    <w:basedOn w:val="Policepardfaut"/>
    <w:uiPriority w:val="99"/>
    <w:semiHidden/>
    <w:unhideWhenUsed/>
    <w:rsid w:val="0052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atribune.fr/economie/france/la-france-est-championne-d-europe-des-dividendes-au-deuxieme-trimestre-1006053.html" TargetMode="External"/><Relationship Id="rId2" Type="http://schemas.openxmlformats.org/officeDocument/2006/relationships/hyperlink" Target="C://Users/etien/Downloads/1163_-_DP_-_Projet_de_loi_de_finances_2024.pdf" TargetMode="External"/><Relationship Id="rId1" Type="http://schemas.openxmlformats.org/officeDocument/2006/relationships/hyperlink" Target="https://www.lemonde.fr/politique/article/2017/07/17/les-reformes-qui-ont-bouleverse-les-collectivites-territoriales-en-dix-ans_5161711_82344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4FF9-BE7E-4DDA-BDAB-92457E96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523</Words>
  <Characters>2877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artigaud</dc:creator>
  <dc:description/>
  <cp:lastModifiedBy>Jade</cp:lastModifiedBy>
  <cp:revision>13</cp:revision>
  <dcterms:created xsi:type="dcterms:W3CDTF">2024-10-23T10:24:00Z</dcterms:created>
  <dcterms:modified xsi:type="dcterms:W3CDTF">2024-11-08T10:43:00Z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