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FD046" w14:textId="77777777" w:rsidR="00864654" w:rsidRDefault="0084553B" w:rsidP="006E2976">
      <w:pPr>
        <w:pStyle w:val="Titre1"/>
        <w:jc w:val="center"/>
      </w:pPr>
      <w:r>
        <w:t>Document support d’animation du diaporama et HMIS</w:t>
      </w:r>
    </w:p>
    <w:p w14:paraId="3E55FEB9" w14:textId="77777777" w:rsidR="0084553B" w:rsidRDefault="0084553B" w:rsidP="0084553B">
      <w:pPr>
        <w:jc w:val="center"/>
      </w:pPr>
    </w:p>
    <w:p w14:paraId="0419CB43" w14:textId="77777777" w:rsidR="0084553B" w:rsidRDefault="0084553B" w:rsidP="00D2070A">
      <w:pPr>
        <w:ind w:left="-567" w:right="-851"/>
      </w:pPr>
      <w:r>
        <w:t>Pour l’H</w:t>
      </w:r>
      <w:r w:rsidR="004052C0">
        <w:t xml:space="preserve">eure </w:t>
      </w:r>
      <w:r>
        <w:t>M</w:t>
      </w:r>
      <w:r w:rsidR="004052C0">
        <w:t>ensuelle d’</w:t>
      </w:r>
      <w:r>
        <w:t>I</w:t>
      </w:r>
      <w:r w:rsidR="004052C0">
        <w:t xml:space="preserve">nformation </w:t>
      </w:r>
      <w:r>
        <w:t>S</w:t>
      </w:r>
      <w:r w:rsidR="004052C0">
        <w:t>yndicale</w:t>
      </w:r>
      <w:r>
        <w:t xml:space="preserve">, nous vous proposons de faire un temps </w:t>
      </w:r>
      <w:r w:rsidR="004052C0">
        <w:t xml:space="preserve">sur le contexte (suppression de postes, gel du point d’indice, etc…) PARTIE 1, puis sur </w:t>
      </w:r>
      <w:r>
        <w:t xml:space="preserve">les </w:t>
      </w:r>
      <w:r w:rsidR="004052C0">
        <w:t>mesures proposées en terme de salaire/ indemnité</w:t>
      </w:r>
      <w:r>
        <w:t xml:space="preserve"> </w:t>
      </w:r>
      <w:r w:rsidR="004052C0">
        <w:t xml:space="preserve">(Socle PARTIE 2 ; Pacte PARTIE 3) </w:t>
      </w:r>
      <w:r>
        <w:t xml:space="preserve"> avant d’ouvrir les perspectives d’activité syndicale (PARTIE 4)</w:t>
      </w:r>
      <w:r w:rsidR="004052C0">
        <w:t xml:space="preserve"> pour gagner</w:t>
      </w:r>
      <w:r>
        <w:t>.</w:t>
      </w:r>
    </w:p>
    <w:p w14:paraId="0CB5B76B" w14:textId="77777777" w:rsidR="0084553B" w:rsidRDefault="005673A9" w:rsidP="00D2070A">
      <w:pPr>
        <w:pStyle w:val="Titre1"/>
        <w:ind w:left="-567" w:right="-851"/>
        <w:jc w:val="center"/>
      </w:pPr>
      <w:r>
        <w:t>P</w:t>
      </w:r>
      <w:r w:rsidR="006E2976">
        <w:t>artie</w:t>
      </w:r>
      <w:r>
        <w:t xml:space="preserve"> 1 CONTEXTE</w:t>
      </w:r>
    </w:p>
    <w:p w14:paraId="324A339A" w14:textId="77777777" w:rsidR="006E2976" w:rsidRPr="006E2976" w:rsidRDefault="005673A9" w:rsidP="00D2070A">
      <w:pPr>
        <w:ind w:left="-567" w:right="-851"/>
        <w:rPr>
          <w:color w:val="ED7D31" w:themeColor="accent2"/>
        </w:rPr>
      </w:pPr>
      <w:r w:rsidRPr="006E2976">
        <w:rPr>
          <w:color w:val="ED7D31" w:themeColor="accent2"/>
        </w:rPr>
        <w:t>Diapo 3</w:t>
      </w:r>
    </w:p>
    <w:p w14:paraId="63AA6978" w14:textId="77777777" w:rsidR="005673A9" w:rsidRDefault="005673A9" w:rsidP="00D2070A">
      <w:pPr>
        <w:ind w:left="-567" w:right="-851"/>
      </w:pPr>
      <w:r>
        <w:t xml:space="preserve">1. </w:t>
      </w:r>
      <w:r w:rsidRPr="005673A9">
        <w:rPr>
          <w:b/>
        </w:rPr>
        <w:t>Le métier est en perte d’attractivité</w:t>
      </w:r>
      <w:r>
        <w:t xml:space="preserve"> notamment car depuis des années (Blanquer a accentué la situation) : </w:t>
      </w:r>
    </w:p>
    <w:p w14:paraId="1B9D0839" w14:textId="55FDF4D5" w:rsidR="005673A9" w:rsidRDefault="005673A9" w:rsidP="006E2976">
      <w:pPr>
        <w:pStyle w:val="Paragraphedeliste"/>
        <w:numPr>
          <w:ilvl w:val="0"/>
          <w:numId w:val="4"/>
        </w:numPr>
        <w:ind w:right="-851"/>
      </w:pPr>
      <w:r w:rsidRPr="005673A9">
        <w:rPr>
          <w:b/>
        </w:rPr>
        <w:t>Les conditions de travail se dégradent</w:t>
      </w:r>
      <w:r>
        <w:t xml:space="preserve"> (hausse des effectifs par classe : moyenne la plus élevée d’Europe, inclusion sans moyen, </w:t>
      </w:r>
      <w:proofErr w:type="gramStart"/>
      <w:r>
        <w:t>etc</w:t>
      </w:r>
      <w:r w:rsidR="00147D4B">
        <w:t>..</w:t>
      </w:r>
      <w:r>
        <w:t>.</w:t>
      </w:r>
      <w:proofErr w:type="gramEnd"/>
      <w:r>
        <w:t>)</w:t>
      </w:r>
    </w:p>
    <w:p w14:paraId="466762FE" w14:textId="77777777" w:rsidR="00147D4B" w:rsidRPr="00147D4B" w:rsidRDefault="005673A9" w:rsidP="001A744B">
      <w:pPr>
        <w:pStyle w:val="Paragraphedeliste"/>
        <w:numPr>
          <w:ilvl w:val="0"/>
          <w:numId w:val="4"/>
        </w:numPr>
        <w:ind w:right="-851"/>
      </w:pPr>
      <w:r w:rsidRPr="00147D4B">
        <w:rPr>
          <w:b/>
        </w:rPr>
        <w:t>La reconnaissance salariale se dégrade</w:t>
      </w:r>
      <w:r w:rsidR="00147D4B">
        <w:t xml:space="preserve"> : </w:t>
      </w:r>
      <w:r w:rsidRPr="00147D4B">
        <w:rPr>
          <w:rFonts w:asciiTheme="majorHAnsi" w:eastAsiaTheme="majorEastAsia" w:hAnsi="Calibri Light" w:cstheme="majorBidi"/>
          <w:color w:val="000000" w:themeColor="text1"/>
          <w:kern w:val="24"/>
        </w:rPr>
        <w:t>Au niveau salarial</w:t>
      </w:r>
      <w:r w:rsidR="00147D4B" w:rsidRPr="00147D4B">
        <w:rPr>
          <w:rFonts w:asciiTheme="majorHAnsi" w:eastAsiaTheme="majorEastAsia" w:hAnsi="Calibri Light" w:cstheme="majorBidi"/>
          <w:color w:val="000000" w:themeColor="text1"/>
          <w:kern w:val="24"/>
        </w:rPr>
        <w:t xml:space="preserve"> </w:t>
      </w:r>
      <w:r w:rsidRPr="00147D4B">
        <w:rPr>
          <w:rFonts w:asciiTheme="majorHAnsi" w:eastAsiaTheme="majorEastAsia" w:hAnsi="Calibri Light" w:cstheme="majorBidi"/>
          <w:color w:val="000000" w:themeColor="text1"/>
          <w:kern w:val="24"/>
        </w:rPr>
        <w:t xml:space="preserve">: perte de pouvoir d’achat estimée à </w:t>
      </w:r>
      <w:r w:rsidR="00147D4B" w:rsidRPr="00147D4B">
        <w:rPr>
          <w:rFonts w:asciiTheme="majorHAnsi" w:eastAsiaTheme="majorEastAsia" w:hAnsi="Calibri Light" w:cstheme="majorBidi"/>
          <w:color w:val="000000" w:themeColor="text1"/>
          <w:kern w:val="24"/>
        </w:rPr>
        <w:t>plus de 30</w:t>
      </w:r>
      <w:r w:rsidRPr="00147D4B">
        <w:rPr>
          <w:rFonts w:asciiTheme="majorHAnsi" w:eastAsiaTheme="majorEastAsia" w:hAnsi="Calibri Light" w:cstheme="majorBidi"/>
          <w:color w:val="000000" w:themeColor="text1"/>
          <w:kern w:val="24"/>
        </w:rPr>
        <w:t xml:space="preserve">% depuis la désindexation des salaires en 1983 (à </w:t>
      </w:r>
      <w:r w:rsidR="00147D4B" w:rsidRPr="00147D4B">
        <w:rPr>
          <w:rFonts w:asciiTheme="majorHAnsi" w:eastAsiaTheme="majorEastAsia" w:hAnsi="Calibri Light" w:cstheme="majorBidi"/>
          <w:color w:val="000000" w:themeColor="text1"/>
          <w:kern w:val="24"/>
        </w:rPr>
        <w:t>2</w:t>
      </w:r>
      <w:r w:rsidRPr="00147D4B">
        <w:rPr>
          <w:rFonts w:asciiTheme="majorHAnsi" w:eastAsiaTheme="majorEastAsia" w:hAnsi="Calibri Light" w:cstheme="majorBidi"/>
          <w:color w:val="000000" w:themeColor="text1"/>
          <w:kern w:val="24"/>
        </w:rPr>
        <w:t>0% depuis 2010). Depuis 2017</w:t>
      </w:r>
      <w:r w:rsidR="00147D4B" w:rsidRPr="00147D4B">
        <w:rPr>
          <w:rFonts w:asciiTheme="majorHAnsi" w:eastAsiaTheme="majorEastAsia" w:hAnsi="Calibri Light" w:cstheme="majorBidi"/>
          <w:color w:val="000000" w:themeColor="text1"/>
          <w:kern w:val="24"/>
        </w:rPr>
        <w:t xml:space="preserve"> (10%) </w:t>
      </w:r>
      <w:r w:rsidRPr="00147D4B">
        <w:rPr>
          <w:rFonts w:asciiTheme="majorHAnsi" w:eastAsiaTheme="majorEastAsia" w:hAnsi="Calibri Light" w:cstheme="majorBidi"/>
          <w:color w:val="000000" w:themeColor="text1"/>
          <w:kern w:val="24"/>
        </w:rPr>
        <w:t>: gel du point d’indice pendant 5 ans (augmentation de 3,5% au 1/7/2022 mais avec inflation à 5,2%!), décalage d’un an de PPCR en 2017!</w:t>
      </w:r>
      <w:r w:rsidR="00147D4B" w:rsidRPr="00147D4B">
        <w:rPr>
          <w:rFonts w:asciiTheme="majorHAnsi" w:eastAsiaTheme="majorEastAsia" w:hAnsi="Calibri Light" w:cstheme="majorBidi"/>
          <w:color w:val="000000" w:themeColor="text1"/>
          <w:kern w:val="24"/>
        </w:rPr>
        <w:t xml:space="preserve"> La France se place dans le bas du classement des s</w:t>
      </w:r>
      <w:r w:rsidRPr="00147D4B">
        <w:rPr>
          <w:rFonts w:asciiTheme="majorHAnsi" w:eastAsiaTheme="majorEastAsia" w:hAnsi="Calibri Light" w:cstheme="majorBidi"/>
          <w:color w:val="000000" w:themeColor="text1"/>
          <w:kern w:val="24"/>
        </w:rPr>
        <w:t xml:space="preserve">alaires </w:t>
      </w:r>
      <w:r w:rsidR="00147D4B" w:rsidRPr="00147D4B">
        <w:rPr>
          <w:rFonts w:asciiTheme="majorHAnsi" w:eastAsiaTheme="majorEastAsia" w:hAnsi="Calibri Light" w:cstheme="majorBidi"/>
          <w:color w:val="000000" w:themeColor="text1"/>
          <w:kern w:val="24"/>
        </w:rPr>
        <w:t>au niveau de l’OCDE.</w:t>
      </w:r>
    </w:p>
    <w:p w14:paraId="2F663CE9" w14:textId="12865494" w:rsidR="005673A9" w:rsidRDefault="005673A9" w:rsidP="001A744B">
      <w:pPr>
        <w:pStyle w:val="Paragraphedeliste"/>
        <w:numPr>
          <w:ilvl w:val="0"/>
          <w:numId w:val="4"/>
        </w:numPr>
        <w:ind w:right="-851"/>
      </w:pPr>
      <w:r w:rsidRPr="00147D4B">
        <w:rPr>
          <w:b/>
        </w:rPr>
        <w:t>La reconnaissance sociale se dégrade</w:t>
      </w:r>
      <w:r>
        <w:t xml:space="preserve"> (réformes imposées, injonctions, management, mépris régulier)</w:t>
      </w:r>
    </w:p>
    <w:p w14:paraId="003B7D28" w14:textId="3FC0795A" w:rsidR="005673A9" w:rsidRDefault="005673A9" w:rsidP="00D2070A">
      <w:pPr>
        <w:ind w:left="-567" w:right="-851"/>
      </w:pPr>
      <w:r>
        <w:t xml:space="preserve">Cette « perte d’attractivité » est bien </w:t>
      </w:r>
      <w:r w:rsidR="00084870">
        <w:t>organisée</w:t>
      </w:r>
      <w:r>
        <w:t xml:space="preserve"> par les choix faits depuis des années, il faut revenir sur ces choix pour changer la donne, </w:t>
      </w:r>
      <w:r w:rsidR="00084870">
        <w:t>au risque d’aggraver ce processus</w:t>
      </w:r>
      <w:r w:rsidR="00F4313C">
        <w:t xml:space="preserve"> et pousser davantage de personnels à démissionner (chiffre en augmentation constante).</w:t>
      </w:r>
    </w:p>
    <w:p w14:paraId="053D1817" w14:textId="2CB1C419" w:rsidR="005673A9" w:rsidRDefault="005673A9" w:rsidP="00D2070A">
      <w:pPr>
        <w:ind w:left="-567" w:right="-851"/>
      </w:pPr>
      <w:r>
        <w:t xml:space="preserve">2. </w:t>
      </w:r>
      <w:r w:rsidR="00F4313C">
        <w:t>L</w:t>
      </w:r>
      <w:r>
        <w:t xml:space="preserve">e « travailler plus pour recruter moins ». </w:t>
      </w:r>
    </w:p>
    <w:p w14:paraId="13D1D272" w14:textId="64947760" w:rsidR="005673A9" w:rsidRPr="005673A9" w:rsidRDefault="005673A9" w:rsidP="006E2976">
      <w:pPr>
        <w:numPr>
          <w:ilvl w:val="0"/>
          <w:numId w:val="5"/>
        </w:numPr>
        <w:spacing w:after="0" w:line="216" w:lineRule="auto"/>
        <w:ind w:right="-851"/>
        <w:contextualSpacing/>
        <w:rPr>
          <w:rFonts w:ascii="Times New Roman" w:eastAsia="Times New Roman" w:hAnsi="Times New Roman" w:cs="Times New Roman"/>
          <w:sz w:val="24"/>
          <w:szCs w:val="24"/>
          <w:lang w:eastAsia="fr-FR"/>
        </w:rPr>
      </w:pPr>
      <w:r w:rsidRPr="005673A9">
        <w:rPr>
          <w:rFonts w:eastAsiaTheme="minorEastAsia" w:hAnsi="Calibri"/>
          <w:color w:val="000000" w:themeColor="text1"/>
          <w:kern w:val="24"/>
          <w:sz w:val="24"/>
          <w:szCs w:val="24"/>
          <w:lang w:eastAsia="fr-FR"/>
        </w:rPr>
        <w:t xml:space="preserve">Entre 7 000 et 8 000 suppressions de postes enseignants </w:t>
      </w:r>
      <w:r w:rsidR="00084870">
        <w:rPr>
          <w:rFonts w:eastAsiaTheme="minorEastAsia" w:hAnsi="Calibri"/>
          <w:color w:val="000000" w:themeColor="text1"/>
          <w:kern w:val="24"/>
          <w:sz w:val="24"/>
          <w:szCs w:val="24"/>
          <w:lang w:eastAsia="fr-FR"/>
        </w:rPr>
        <w:t xml:space="preserve">second </w:t>
      </w:r>
      <w:r w:rsidRPr="005673A9">
        <w:rPr>
          <w:rFonts w:eastAsiaTheme="minorEastAsia" w:hAnsi="Calibri"/>
          <w:color w:val="000000" w:themeColor="text1"/>
          <w:kern w:val="24"/>
          <w:sz w:val="24"/>
          <w:szCs w:val="24"/>
          <w:lang w:eastAsia="fr-FR"/>
        </w:rPr>
        <w:t>degré avec 22 600 élèves de plus depuis 2017!</w:t>
      </w:r>
    </w:p>
    <w:p w14:paraId="73832814" w14:textId="61B5A805" w:rsidR="005673A9" w:rsidRPr="005673A9" w:rsidRDefault="005673A9" w:rsidP="006E2976">
      <w:pPr>
        <w:numPr>
          <w:ilvl w:val="0"/>
          <w:numId w:val="5"/>
        </w:numPr>
        <w:spacing w:after="0" w:line="216" w:lineRule="auto"/>
        <w:ind w:right="-851"/>
        <w:contextualSpacing/>
        <w:rPr>
          <w:rFonts w:ascii="Times New Roman" w:eastAsia="Times New Roman" w:hAnsi="Times New Roman" w:cs="Times New Roman"/>
          <w:sz w:val="24"/>
          <w:szCs w:val="24"/>
          <w:lang w:eastAsia="fr-FR"/>
        </w:rPr>
      </w:pPr>
      <w:r w:rsidRPr="005673A9">
        <w:rPr>
          <w:rFonts w:eastAsiaTheme="minorEastAsia" w:hAnsi="Calibri"/>
          <w:color w:val="000000" w:themeColor="text1"/>
          <w:kern w:val="24"/>
          <w:sz w:val="24"/>
          <w:szCs w:val="24"/>
          <w:lang w:eastAsia="fr-FR"/>
        </w:rPr>
        <w:t xml:space="preserve"> 2eme HSA </w:t>
      </w:r>
      <w:r w:rsidR="00C65F43" w:rsidRPr="005673A9">
        <w:rPr>
          <w:rFonts w:eastAsiaTheme="minorEastAsia" w:hAnsi="Calibri"/>
          <w:color w:val="000000" w:themeColor="text1"/>
          <w:kern w:val="24"/>
          <w:sz w:val="24"/>
          <w:szCs w:val="24"/>
          <w:lang w:eastAsia="fr-FR"/>
        </w:rPr>
        <w:t>imposée</w:t>
      </w:r>
      <w:r w:rsidRPr="005673A9">
        <w:rPr>
          <w:rFonts w:eastAsiaTheme="minorEastAsia" w:hAnsi="Calibri"/>
          <w:color w:val="000000" w:themeColor="text1"/>
          <w:kern w:val="24"/>
          <w:sz w:val="24"/>
          <w:szCs w:val="24"/>
          <w:lang w:eastAsia="fr-FR"/>
        </w:rPr>
        <w:t xml:space="preserve"> par Blanquer (2019)</w:t>
      </w:r>
    </w:p>
    <w:p w14:paraId="369C9750" w14:textId="77777777" w:rsidR="00C65F43" w:rsidRPr="00C65F43" w:rsidRDefault="00C65F43" w:rsidP="00E50FE0">
      <w:pPr>
        <w:numPr>
          <w:ilvl w:val="0"/>
          <w:numId w:val="5"/>
        </w:numPr>
        <w:spacing w:after="0" w:line="216" w:lineRule="auto"/>
        <w:ind w:right="-851"/>
        <w:contextualSpacing/>
        <w:rPr>
          <w:rFonts w:ascii="Times New Roman" w:eastAsia="Times New Roman" w:hAnsi="Times New Roman" w:cs="Times New Roman"/>
          <w:sz w:val="24"/>
          <w:szCs w:val="24"/>
          <w:lang w:eastAsia="fr-FR"/>
        </w:rPr>
      </w:pPr>
      <w:r w:rsidRPr="00C65F43">
        <w:rPr>
          <w:rFonts w:eastAsiaTheme="minorEastAsia" w:hAnsi="Calibri"/>
          <w:kern w:val="24"/>
          <w:sz w:val="24"/>
          <w:szCs w:val="24"/>
          <w:lang w:eastAsia="fr-FR"/>
        </w:rPr>
        <w:t>Réforme de la formation des enseignants : Majorité des s</w:t>
      </w:r>
      <w:r w:rsidR="005673A9" w:rsidRPr="00C65F43">
        <w:rPr>
          <w:rFonts w:eastAsiaTheme="minorEastAsia" w:hAnsi="Calibri"/>
          <w:kern w:val="24"/>
          <w:sz w:val="24"/>
          <w:szCs w:val="24"/>
          <w:lang w:eastAsia="fr-FR"/>
        </w:rPr>
        <w:t xml:space="preserve">tagiaires </w:t>
      </w:r>
      <w:r w:rsidR="005673A9" w:rsidRPr="00C65F43">
        <w:rPr>
          <w:rFonts w:eastAsiaTheme="minorEastAsia" w:hAnsi="Calibri"/>
          <w:color w:val="000000" w:themeColor="text1"/>
          <w:kern w:val="24"/>
          <w:sz w:val="24"/>
          <w:szCs w:val="24"/>
          <w:lang w:eastAsia="fr-FR"/>
        </w:rPr>
        <w:t>mi</w:t>
      </w:r>
      <w:r w:rsidRPr="00C65F43">
        <w:rPr>
          <w:rFonts w:eastAsiaTheme="minorEastAsia" w:hAnsi="Calibri"/>
          <w:color w:val="000000" w:themeColor="text1"/>
          <w:kern w:val="24"/>
          <w:sz w:val="24"/>
          <w:szCs w:val="24"/>
          <w:lang w:eastAsia="fr-FR"/>
        </w:rPr>
        <w:t>s</w:t>
      </w:r>
      <w:r w:rsidR="005673A9" w:rsidRPr="00C65F43">
        <w:rPr>
          <w:rFonts w:eastAsiaTheme="minorEastAsia" w:hAnsi="Calibri"/>
          <w:color w:val="000000" w:themeColor="text1"/>
          <w:kern w:val="24"/>
          <w:sz w:val="24"/>
          <w:szCs w:val="24"/>
          <w:lang w:eastAsia="fr-FR"/>
        </w:rPr>
        <w:t xml:space="preserve"> à temps plein </w:t>
      </w:r>
      <w:r w:rsidRPr="00C65F43">
        <w:rPr>
          <w:rFonts w:eastAsiaTheme="minorEastAsia" w:hAnsi="Calibri"/>
          <w:kern w:val="24"/>
          <w:sz w:val="24"/>
          <w:szCs w:val="24"/>
          <w:lang w:eastAsia="fr-FR"/>
        </w:rPr>
        <w:t>(rentrée 2022)</w:t>
      </w:r>
    </w:p>
    <w:p w14:paraId="625BB270" w14:textId="77777777" w:rsidR="00147D4B" w:rsidRPr="00147D4B" w:rsidRDefault="005673A9" w:rsidP="00E072B3">
      <w:pPr>
        <w:numPr>
          <w:ilvl w:val="0"/>
          <w:numId w:val="5"/>
        </w:numPr>
        <w:spacing w:after="0" w:line="216" w:lineRule="auto"/>
        <w:ind w:right="-851"/>
        <w:contextualSpacing/>
        <w:rPr>
          <w:rFonts w:ascii="Times New Roman" w:eastAsia="Times New Roman" w:hAnsi="Times New Roman" w:cs="Times New Roman"/>
          <w:sz w:val="24"/>
          <w:szCs w:val="24"/>
          <w:lang w:eastAsia="fr-FR"/>
        </w:rPr>
      </w:pPr>
      <w:r w:rsidRPr="00084870">
        <w:rPr>
          <w:rFonts w:eastAsiaTheme="minorEastAsia" w:hAnsi="Calibri"/>
          <w:color w:val="000000" w:themeColor="text1"/>
          <w:kern w:val="24"/>
          <w:sz w:val="24"/>
          <w:szCs w:val="24"/>
          <w:lang w:eastAsia="fr-FR"/>
        </w:rPr>
        <w:t>Emploi d’étudiant.es comme enseignant</w:t>
      </w:r>
      <w:r w:rsidR="00F4313C">
        <w:rPr>
          <w:rFonts w:eastAsiaTheme="minorEastAsia" w:hAnsi="Calibri"/>
          <w:color w:val="000000" w:themeColor="text1"/>
          <w:kern w:val="24"/>
          <w:sz w:val="24"/>
          <w:szCs w:val="24"/>
          <w:lang w:eastAsia="fr-FR"/>
        </w:rPr>
        <w:t xml:space="preserve"> </w:t>
      </w:r>
    </w:p>
    <w:p w14:paraId="4FD37703" w14:textId="6EB2F486" w:rsidR="00084870" w:rsidRPr="00084870" w:rsidRDefault="005673A9" w:rsidP="00E072B3">
      <w:pPr>
        <w:numPr>
          <w:ilvl w:val="0"/>
          <w:numId w:val="5"/>
        </w:numPr>
        <w:spacing w:after="0" w:line="216" w:lineRule="auto"/>
        <w:ind w:right="-851"/>
        <w:contextualSpacing/>
        <w:rPr>
          <w:rFonts w:ascii="Times New Roman" w:eastAsia="Times New Roman" w:hAnsi="Times New Roman" w:cs="Times New Roman"/>
          <w:sz w:val="24"/>
          <w:szCs w:val="24"/>
          <w:lang w:eastAsia="fr-FR"/>
        </w:rPr>
      </w:pPr>
      <w:r w:rsidRPr="00084870">
        <w:rPr>
          <w:rFonts w:eastAsiaTheme="minorEastAsia" w:hAnsi="Calibri"/>
          <w:color w:val="000000" w:themeColor="text1"/>
          <w:kern w:val="24"/>
          <w:sz w:val="24"/>
          <w:szCs w:val="24"/>
          <w:lang w:eastAsia="fr-FR"/>
        </w:rPr>
        <w:t>: Etudiants contractuels alternant</w:t>
      </w:r>
      <w:r w:rsidR="00084870" w:rsidRPr="00084870">
        <w:rPr>
          <w:rFonts w:eastAsiaTheme="minorEastAsia" w:hAnsi="Calibri"/>
          <w:color w:val="000000" w:themeColor="text1"/>
          <w:kern w:val="24"/>
          <w:sz w:val="24"/>
          <w:szCs w:val="24"/>
          <w:lang w:eastAsia="fr-FR"/>
        </w:rPr>
        <w:t xml:space="preserve">s </w:t>
      </w:r>
      <w:r w:rsidR="00084870" w:rsidRPr="00084870">
        <w:rPr>
          <w:rFonts w:eastAsiaTheme="minorEastAsia" w:hAnsi="Calibri"/>
          <w:kern w:val="24"/>
          <w:sz w:val="24"/>
          <w:szCs w:val="24"/>
          <w:lang w:eastAsia="fr-FR"/>
        </w:rPr>
        <w:t>(rentrée 2021)</w:t>
      </w:r>
    </w:p>
    <w:p w14:paraId="26461DB8" w14:textId="353866FB" w:rsidR="005673A9" w:rsidRPr="00084870" w:rsidRDefault="005673A9" w:rsidP="00E072B3">
      <w:pPr>
        <w:numPr>
          <w:ilvl w:val="0"/>
          <w:numId w:val="5"/>
        </w:numPr>
        <w:spacing w:after="0" w:line="216" w:lineRule="auto"/>
        <w:ind w:right="-851"/>
        <w:contextualSpacing/>
        <w:rPr>
          <w:rFonts w:ascii="Times New Roman" w:eastAsia="Times New Roman" w:hAnsi="Times New Roman" w:cs="Times New Roman"/>
          <w:sz w:val="24"/>
          <w:szCs w:val="24"/>
          <w:lang w:eastAsia="fr-FR"/>
        </w:rPr>
      </w:pPr>
      <w:r w:rsidRPr="00084870">
        <w:rPr>
          <w:rFonts w:eastAsiaTheme="minorEastAsia" w:hAnsi="Calibri"/>
          <w:color w:val="000000" w:themeColor="text1"/>
          <w:kern w:val="24"/>
          <w:sz w:val="24"/>
          <w:szCs w:val="24"/>
          <w:lang w:eastAsia="fr-FR"/>
        </w:rPr>
        <w:t xml:space="preserve">La DEPP annonce que la moitié des enseignants déclare travailler 43 heures ou plus par semaine! Mais cela n’alerte pas le ministère. </w:t>
      </w:r>
      <w:hyperlink r:id="rId7" w:history="1">
        <w:r w:rsidRPr="00084870">
          <w:rPr>
            <w:rStyle w:val="Lienhypertexte"/>
            <w:rFonts w:eastAsiaTheme="minorEastAsia" w:hAnsi="Calibri"/>
            <w:kern w:val="24"/>
            <w:sz w:val="24"/>
            <w:szCs w:val="24"/>
            <w:lang w:eastAsia="fr-FR"/>
          </w:rPr>
          <w:t>https://www.education.gouv.fr/la-moitie-des-enseignants-declare-travailler-au-moins-43-heures-par-semaine-343235</w:t>
        </w:r>
      </w:hyperlink>
    </w:p>
    <w:p w14:paraId="266A9962" w14:textId="77777777" w:rsidR="00ED33A7" w:rsidRPr="00ED33A7" w:rsidRDefault="005673A9" w:rsidP="002E1A18">
      <w:pPr>
        <w:pStyle w:val="Paragraphedeliste"/>
        <w:numPr>
          <w:ilvl w:val="0"/>
          <w:numId w:val="5"/>
        </w:numPr>
        <w:ind w:right="-851"/>
        <w:rPr>
          <w:rFonts w:eastAsiaTheme="minorEastAsia" w:hAnsi="Calibri"/>
          <w:color w:val="000000" w:themeColor="text1"/>
          <w:kern w:val="24"/>
          <w:lang w:eastAsia="fr-FR"/>
        </w:rPr>
      </w:pPr>
      <w:r w:rsidRPr="00ED33A7">
        <w:rPr>
          <w:rFonts w:eastAsiaTheme="minorEastAsia" w:hAnsi="Calibri"/>
          <w:color w:val="000000" w:themeColor="text1"/>
          <w:kern w:val="24"/>
          <w:sz w:val="24"/>
          <w:szCs w:val="24"/>
          <w:lang w:eastAsia="fr-FR"/>
        </w:rPr>
        <w:t>Réforme des retraites :</w:t>
      </w:r>
      <w:r>
        <w:t xml:space="preserve"> 64 ans et 43 annuités</w:t>
      </w:r>
      <w:r w:rsidR="00ED33A7">
        <w:t xml:space="preserve"> constitue une dégradation considérable des conditions de travail.</w:t>
      </w:r>
      <w:r>
        <w:t xml:space="preserve"> Le rapport de force créé par la mobilisation retraite a permis, sur le socle, des modifications qui n’étaient pas prévu</w:t>
      </w:r>
      <w:r w:rsidR="00ED33A7">
        <w:t>es</w:t>
      </w:r>
      <w:r>
        <w:t xml:space="preserve"> (indiciaire), alors que le gouvernement ne prévoyait que des indemnités (et sur uniquement les débuts de carrières). </w:t>
      </w:r>
      <w:r w:rsidR="00ED33A7">
        <w:t>Preuve en est que les combats menés peuvent permettre d’obtenir des avancées.</w:t>
      </w:r>
    </w:p>
    <w:p w14:paraId="6740C6B3" w14:textId="70346DF1" w:rsidR="006F642B" w:rsidRPr="00ED33A7" w:rsidRDefault="005673A9" w:rsidP="002E1A18">
      <w:pPr>
        <w:pStyle w:val="Paragraphedeliste"/>
        <w:numPr>
          <w:ilvl w:val="0"/>
          <w:numId w:val="5"/>
        </w:numPr>
        <w:ind w:right="-851"/>
        <w:rPr>
          <w:rFonts w:eastAsiaTheme="minorEastAsia" w:hAnsi="Calibri"/>
          <w:color w:val="000000" w:themeColor="text1"/>
          <w:kern w:val="24"/>
          <w:lang w:eastAsia="fr-FR"/>
        </w:rPr>
      </w:pPr>
      <w:r w:rsidRPr="00ED33A7">
        <w:rPr>
          <w:rFonts w:eastAsiaTheme="minorEastAsia" w:hAnsi="Calibri"/>
          <w:color w:val="000000" w:themeColor="text1"/>
          <w:kern w:val="24"/>
          <w:sz w:val="24"/>
          <w:szCs w:val="24"/>
          <w:lang w:eastAsia="fr-FR"/>
        </w:rPr>
        <w:t>Mal-</w:t>
      </w:r>
      <w:r>
        <w:t xml:space="preserve">être enseignant : </w:t>
      </w:r>
      <w:r w:rsidRPr="00ED33A7">
        <w:rPr>
          <w:rFonts w:eastAsiaTheme="minorEastAsia" w:hAnsi="Calibri"/>
          <w:color w:val="000000" w:themeColor="text1"/>
          <w:kern w:val="24"/>
          <w:lang w:eastAsia="fr-FR"/>
        </w:rPr>
        <w:t xml:space="preserve">(enquête sur le climat scolaire </w:t>
      </w:r>
      <w:r w:rsidR="00ED33A7" w:rsidRPr="00ED33A7">
        <w:rPr>
          <w:rFonts w:eastAsiaTheme="minorEastAsia" w:hAnsi="Calibri"/>
          <w:color w:val="000000" w:themeColor="text1"/>
          <w:kern w:val="24"/>
          <w:lang w:eastAsia="fr-FR"/>
        </w:rPr>
        <w:t xml:space="preserve">second </w:t>
      </w:r>
      <w:r w:rsidRPr="00ED33A7">
        <w:rPr>
          <w:rFonts w:eastAsiaTheme="minorEastAsia" w:hAnsi="Calibri"/>
          <w:color w:val="000000" w:themeColor="text1"/>
          <w:kern w:val="24"/>
          <w:lang w:eastAsia="fr-FR"/>
        </w:rPr>
        <w:t xml:space="preserve">degré, </w:t>
      </w:r>
      <w:proofErr w:type="spellStart"/>
      <w:r w:rsidRPr="00ED33A7">
        <w:rPr>
          <w:rFonts w:eastAsiaTheme="minorEastAsia" w:hAnsi="Calibri"/>
          <w:color w:val="000000" w:themeColor="text1"/>
          <w:kern w:val="24"/>
          <w:lang w:eastAsia="fr-FR"/>
        </w:rPr>
        <w:t>Debardieux</w:t>
      </w:r>
      <w:proofErr w:type="spellEnd"/>
      <w:r w:rsidRPr="00ED33A7">
        <w:rPr>
          <w:rFonts w:eastAsiaTheme="minorEastAsia" w:hAnsi="Calibri"/>
          <w:color w:val="000000" w:themeColor="text1"/>
          <w:kern w:val="24"/>
          <w:lang w:eastAsia="fr-FR"/>
        </w:rPr>
        <w:t xml:space="preserve"> et </w:t>
      </w:r>
      <w:proofErr w:type="spellStart"/>
      <w:r w:rsidRPr="00ED33A7">
        <w:rPr>
          <w:rFonts w:eastAsiaTheme="minorEastAsia" w:hAnsi="Calibri"/>
          <w:color w:val="000000" w:themeColor="text1"/>
          <w:kern w:val="24"/>
          <w:lang w:eastAsia="fr-FR"/>
        </w:rPr>
        <w:t>Moignard</w:t>
      </w:r>
      <w:proofErr w:type="spellEnd"/>
      <w:r w:rsidRPr="00ED33A7">
        <w:rPr>
          <w:rFonts w:eastAsiaTheme="minorEastAsia" w:hAnsi="Calibri"/>
          <w:color w:val="000000" w:themeColor="text1"/>
          <w:kern w:val="24"/>
          <w:lang w:eastAsia="fr-FR"/>
        </w:rPr>
        <w:t xml:space="preserve">, </w:t>
      </w:r>
      <w:proofErr w:type="spellStart"/>
      <w:r w:rsidRPr="00ED33A7">
        <w:rPr>
          <w:rFonts w:eastAsiaTheme="minorEastAsia" w:hAnsi="Calibri"/>
          <w:color w:val="000000" w:themeColor="text1"/>
          <w:kern w:val="24"/>
          <w:lang w:eastAsia="fr-FR"/>
        </w:rPr>
        <w:t>Oct</w:t>
      </w:r>
      <w:proofErr w:type="spellEnd"/>
      <w:r w:rsidRPr="00ED33A7">
        <w:rPr>
          <w:rFonts w:eastAsiaTheme="minorEastAsia" w:hAnsi="Calibri"/>
          <w:color w:val="000000" w:themeColor="text1"/>
          <w:kern w:val="24"/>
          <w:lang w:eastAsia="fr-FR"/>
        </w:rPr>
        <w:t xml:space="preserve"> 2022, ASL): </w:t>
      </w:r>
      <w:r w:rsidRPr="00ED33A7">
        <w:rPr>
          <w:rFonts w:eastAsiaTheme="minorEastAsia" w:hAnsi="Calibri"/>
          <w:b/>
          <w:color w:val="000000" w:themeColor="text1"/>
          <w:kern w:val="24"/>
          <w:lang w:eastAsia="fr-FR"/>
        </w:rPr>
        <w:t>55% insatisfait du métier</w:t>
      </w:r>
      <w:r w:rsidRPr="00ED33A7">
        <w:rPr>
          <w:rFonts w:eastAsiaTheme="minorEastAsia" w:hAnsi="Calibri"/>
          <w:color w:val="000000" w:themeColor="text1"/>
          <w:kern w:val="24"/>
          <w:lang w:eastAsia="fr-FR"/>
        </w:rPr>
        <w:t xml:space="preserve"> (contre 31% en 2013</w:t>
      </w:r>
      <w:r w:rsidR="006F642B" w:rsidRPr="00ED33A7">
        <w:rPr>
          <w:rFonts w:eastAsiaTheme="minorEastAsia" w:hAnsi="Calibri"/>
          <w:color w:val="000000" w:themeColor="text1"/>
          <w:kern w:val="24"/>
          <w:lang w:eastAsia="fr-FR"/>
        </w:rPr>
        <w:t>)</w:t>
      </w:r>
      <w:r w:rsidRPr="00ED33A7">
        <w:rPr>
          <w:rFonts w:eastAsiaTheme="minorEastAsia" w:hAnsi="Calibri"/>
          <w:color w:val="000000" w:themeColor="text1"/>
          <w:kern w:val="24"/>
          <w:lang w:eastAsia="fr-FR"/>
        </w:rPr>
        <w:t xml:space="preserve">, </w:t>
      </w:r>
      <w:r w:rsidRPr="00ED33A7">
        <w:rPr>
          <w:rFonts w:eastAsiaTheme="minorEastAsia" w:hAnsi="Calibri"/>
          <w:b/>
          <w:color w:val="000000" w:themeColor="text1"/>
          <w:kern w:val="24"/>
          <w:lang w:eastAsia="fr-FR"/>
        </w:rPr>
        <w:t>51,3% pensent souvent ou très souvent à quitter le métier</w:t>
      </w:r>
      <w:r w:rsidRPr="00ED33A7">
        <w:rPr>
          <w:rFonts w:eastAsiaTheme="minorEastAsia" w:hAnsi="Calibri"/>
          <w:color w:val="000000" w:themeColor="text1"/>
          <w:kern w:val="24"/>
          <w:lang w:eastAsia="fr-FR"/>
        </w:rPr>
        <w:t xml:space="preserve"> </w:t>
      </w:r>
      <w:r w:rsidR="006F642B" w:rsidRPr="00ED33A7">
        <w:rPr>
          <w:rFonts w:eastAsiaTheme="minorEastAsia" w:hAnsi="Calibri"/>
          <w:color w:val="000000" w:themeColor="text1"/>
          <w:kern w:val="24"/>
          <w:lang w:eastAsia="fr-FR"/>
        </w:rPr>
        <w:t xml:space="preserve">(contre 30% en 2013). </w:t>
      </w:r>
    </w:p>
    <w:p w14:paraId="3B13AFD9" w14:textId="77777777" w:rsidR="006F642B" w:rsidRDefault="00000000" w:rsidP="00D2070A">
      <w:pPr>
        <w:pStyle w:val="Paragraphedeliste"/>
        <w:ind w:left="-567" w:right="-851"/>
        <w:rPr>
          <w:rFonts w:eastAsiaTheme="minorEastAsia" w:hAnsi="Calibri"/>
          <w:color w:val="000000" w:themeColor="text1"/>
          <w:kern w:val="24"/>
          <w:lang w:eastAsia="fr-FR"/>
        </w:rPr>
      </w:pPr>
      <w:hyperlink r:id="rId8" w:history="1">
        <w:r w:rsidR="006F642B" w:rsidRPr="006D5577">
          <w:rPr>
            <w:rStyle w:val="Lienhypertexte"/>
            <w:rFonts w:eastAsiaTheme="minorEastAsia" w:hAnsi="Calibri"/>
            <w:kern w:val="24"/>
            <w:lang w:eastAsia="fr-FR"/>
          </w:rPr>
          <w:t>https://www.autonome-solidarite.fr/media/2022/10/ASL_Synth%C3%A8se-%C3%A9tude-climat-scolaire_OCTOBRE-22.pdf</w:t>
        </w:r>
      </w:hyperlink>
    </w:p>
    <w:p w14:paraId="7D4DE41B" w14:textId="77777777" w:rsidR="006F642B" w:rsidRDefault="006F642B" w:rsidP="006F642B">
      <w:pPr>
        <w:pStyle w:val="Paragraphedeliste"/>
        <w:rPr>
          <w:rFonts w:eastAsiaTheme="minorEastAsia" w:hAnsi="Calibri"/>
          <w:color w:val="000000" w:themeColor="text1"/>
          <w:kern w:val="24"/>
          <w:lang w:eastAsia="fr-FR"/>
        </w:rPr>
      </w:pPr>
    </w:p>
    <w:p w14:paraId="3034DC91" w14:textId="77777777" w:rsidR="006F642B" w:rsidRDefault="006E2976" w:rsidP="00D2070A">
      <w:pPr>
        <w:pStyle w:val="Titre1"/>
        <w:jc w:val="center"/>
        <w:rPr>
          <w:rFonts w:eastAsiaTheme="minorEastAsia"/>
          <w:lang w:eastAsia="fr-FR"/>
        </w:rPr>
      </w:pPr>
      <w:r>
        <w:rPr>
          <w:rFonts w:eastAsiaTheme="minorEastAsia"/>
          <w:lang w:eastAsia="fr-FR"/>
        </w:rPr>
        <w:t>Partie</w:t>
      </w:r>
      <w:r w:rsidR="006F642B">
        <w:rPr>
          <w:rFonts w:eastAsiaTheme="minorEastAsia"/>
          <w:lang w:eastAsia="fr-FR"/>
        </w:rPr>
        <w:t xml:space="preserve"> 2 SOCLE</w:t>
      </w:r>
    </w:p>
    <w:p w14:paraId="76FE6AC8" w14:textId="77777777" w:rsidR="006F642B" w:rsidRPr="006E2976" w:rsidRDefault="006F642B" w:rsidP="006E2976">
      <w:pPr>
        <w:rPr>
          <w:rFonts w:eastAsiaTheme="minorEastAsia" w:hAnsi="Calibri"/>
          <w:color w:val="000000" w:themeColor="text1"/>
          <w:kern w:val="24"/>
          <w:lang w:eastAsia="fr-FR"/>
        </w:rPr>
      </w:pPr>
      <w:r w:rsidRPr="006E2976">
        <w:rPr>
          <w:rFonts w:eastAsiaTheme="minorEastAsia" w:hAnsi="Calibri"/>
          <w:color w:val="ED7D31" w:themeColor="accent2"/>
          <w:kern w:val="24"/>
          <w:lang w:eastAsia="fr-FR"/>
        </w:rPr>
        <w:t>Diapo 5 </w:t>
      </w:r>
      <w:r w:rsidRPr="006E2976">
        <w:rPr>
          <w:rFonts w:eastAsiaTheme="minorEastAsia" w:hAnsi="Calibri"/>
          <w:color w:val="000000" w:themeColor="text1"/>
          <w:kern w:val="24"/>
          <w:lang w:eastAsia="fr-FR"/>
        </w:rPr>
        <w:t>: prime d’attra</w:t>
      </w:r>
      <w:r w:rsidR="00D2070A" w:rsidRPr="006E2976">
        <w:rPr>
          <w:rFonts w:eastAsiaTheme="minorEastAsia" w:hAnsi="Calibri"/>
          <w:color w:val="000000" w:themeColor="text1"/>
          <w:kern w:val="24"/>
          <w:lang w:eastAsia="fr-FR"/>
        </w:rPr>
        <w:t>cti</w:t>
      </w:r>
      <w:r w:rsidRPr="006E2976">
        <w:rPr>
          <w:rFonts w:eastAsiaTheme="minorEastAsia" w:hAnsi="Calibri"/>
          <w:color w:val="000000" w:themeColor="text1"/>
          <w:kern w:val="24"/>
          <w:lang w:eastAsia="fr-FR"/>
        </w:rPr>
        <w:t>vité</w:t>
      </w:r>
    </w:p>
    <w:tbl>
      <w:tblPr>
        <w:tblW w:w="6086" w:type="dxa"/>
        <w:tblCellMar>
          <w:left w:w="0" w:type="dxa"/>
          <w:right w:w="0" w:type="dxa"/>
        </w:tblCellMar>
        <w:tblLook w:val="0420" w:firstRow="1" w:lastRow="0" w:firstColumn="0" w:lastColumn="0" w:noHBand="0" w:noVBand="1"/>
      </w:tblPr>
      <w:tblGrid>
        <w:gridCol w:w="1408"/>
        <w:gridCol w:w="1134"/>
        <w:gridCol w:w="1984"/>
        <w:gridCol w:w="1560"/>
      </w:tblGrid>
      <w:tr w:rsidR="006F642B" w:rsidRPr="006F642B" w14:paraId="473A1457" w14:textId="77777777" w:rsidTr="006F642B">
        <w:trPr>
          <w:trHeight w:val="449"/>
        </w:trPr>
        <w:tc>
          <w:tcPr>
            <w:tcW w:w="1408"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19537F22" w14:textId="77777777" w:rsidR="006F642B" w:rsidRPr="006F642B" w:rsidRDefault="006F642B" w:rsidP="006F642B">
            <w:pPr>
              <w:spacing w:after="0" w:line="240" w:lineRule="auto"/>
              <w:jc w:val="center"/>
              <w:rPr>
                <w:rFonts w:ascii="Arial" w:eastAsia="Times New Roman" w:hAnsi="Arial" w:cs="Arial"/>
                <w:sz w:val="20"/>
                <w:szCs w:val="20"/>
                <w:lang w:eastAsia="fr-FR"/>
              </w:rPr>
            </w:pPr>
            <w:r w:rsidRPr="006F642B">
              <w:rPr>
                <w:rFonts w:ascii="Calibri" w:eastAsia="Times New Roman" w:hAnsi="Calibri" w:cs="Calibri"/>
                <w:b/>
                <w:bCs/>
                <w:color w:val="FFFFFF" w:themeColor="light1"/>
                <w:kern w:val="24"/>
                <w:sz w:val="20"/>
                <w:szCs w:val="20"/>
                <w:lang w:eastAsia="fr-FR"/>
              </w:rPr>
              <w:t>Echelon détenu</w:t>
            </w:r>
          </w:p>
        </w:tc>
        <w:tc>
          <w:tcPr>
            <w:tcW w:w="1134"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3340F439" w14:textId="77777777" w:rsidR="006F642B" w:rsidRPr="006F642B" w:rsidRDefault="006F642B" w:rsidP="006F642B">
            <w:pPr>
              <w:spacing w:after="0" w:line="240" w:lineRule="auto"/>
              <w:jc w:val="center"/>
              <w:rPr>
                <w:rFonts w:ascii="Arial" w:eastAsia="Times New Roman" w:hAnsi="Arial" w:cs="Arial"/>
                <w:sz w:val="20"/>
                <w:szCs w:val="20"/>
                <w:lang w:eastAsia="fr-FR"/>
              </w:rPr>
            </w:pPr>
            <w:r w:rsidRPr="006F642B">
              <w:rPr>
                <w:rFonts w:ascii="Calibri" w:eastAsia="Times New Roman" w:hAnsi="Calibri" w:cs="Calibri"/>
                <w:b/>
                <w:bCs/>
                <w:color w:val="FFFFFF" w:themeColor="light1"/>
                <w:kern w:val="24"/>
                <w:sz w:val="20"/>
                <w:szCs w:val="20"/>
                <w:lang w:eastAsia="fr-FR"/>
              </w:rPr>
              <w:t>Avant socle</w:t>
            </w:r>
          </w:p>
        </w:tc>
        <w:tc>
          <w:tcPr>
            <w:tcW w:w="1984"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5DE60360" w14:textId="77777777" w:rsidR="006F642B" w:rsidRPr="006F642B" w:rsidRDefault="006F642B" w:rsidP="006F642B">
            <w:pPr>
              <w:spacing w:after="0" w:line="240" w:lineRule="auto"/>
              <w:jc w:val="center"/>
              <w:rPr>
                <w:rFonts w:ascii="Arial" w:eastAsia="Times New Roman" w:hAnsi="Arial" w:cs="Arial"/>
                <w:sz w:val="20"/>
                <w:szCs w:val="20"/>
                <w:lang w:eastAsia="fr-FR"/>
              </w:rPr>
            </w:pPr>
            <w:r w:rsidRPr="006F642B">
              <w:rPr>
                <w:rFonts w:ascii="Calibri" w:eastAsia="Times New Roman" w:hAnsi="Calibri" w:cs="Calibri"/>
                <w:b/>
                <w:bCs/>
                <w:color w:val="FFFFFF" w:themeColor="light1"/>
                <w:kern w:val="24"/>
                <w:sz w:val="20"/>
                <w:szCs w:val="20"/>
                <w:lang w:eastAsia="fr-FR"/>
              </w:rPr>
              <w:t>Après socle</w:t>
            </w:r>
          </w:p>
        </w:tc>
        <w:tc>
          <w:tcPr>
            <w:tcW w:w="1560"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5C1C5D74" w14:textId="77777777" w:rsidR="006F642B" w:rsidRPr="006F642B" w:rsidRDefault="006F642B" w:rsidP="006F642B">
            <w:pPr>
              <w:spacing w:after="0" w:line="240" w:lineRule="auto"/>
              <w:jc w:val="center"/>
              <w:rPr>
                <w:rFonts w:ascii="Arial" w:eastAsia="Times New Roman" w:hAnsi="Arial" w:cs="Arial"/>
                <w:sz w:val="20"/>
                <w:szCs w:val="20"/>
                <w:lang w:eastAsia="fr-FR"/>
              </w:rPr>
            </w:pPr>
            <w:r w:rsidRPr="006F642B">
              <w:rPr>
                <w:rFonts w:ascii="Calibri" w:eastAsia="Times New Roman" w:hAnsi="Calibri" w:cs="Calibri"/>
                <w:b/>
                <w:bCs/>
                <w:color w:val="FFFFFF" w:themeColor="light1"/>
                <w:kern w:val="24"/>
                <w:sz w:val="20"/>
                <w:szCs w:val="20"/>
                <w:lang w:eastAsia="fr-FR"/>
              </w:rPr>
              <w:t>différence</w:t>
            </w:r>
          </w:p>
        </w:tc>
      </w:tr>
      <w:tr w:rsidR="006F642B" w:rsidRPr="006F642B" w14:paraId="01387933" w14:textId="77777777" w:rsidTr="006F642B">
        <w:trPr>
          <w:trHeight w:val="475"/>
        </w:trPr>
        <w:tc>
          <w:tcPr>
            <w:tcW w:w="1408"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1A2B2859" w14:textId="77777777" w:rsidR="006F642B" w:rsidRPr="006F642B" w:rsidRDefault="006F642B" w:rsidP="006F642B">
            <w:pPr>
              <w:spacing w:after="0" w:line="240" w:lineRule="auto"/>
              <w:jc w:val="center"/>
              <w:rPr>
                <w:rFonts w:ascii="Arial" w:eastAsia="Times New Roman" w:hAnsi="Arial" w:cs="Arial"/>
                <w:sz w:val="20"/>
                <w:szCs w:val="20"/>
                <w:lang w:eastAsia="fr-FR"/>
              </w:rPr>
            </w:pPr>
            <w:r w:rsidRPr="006F642B">
              <w:rPr>
                <w:rFonts w:ascii="Calibri" w:eastAsia="Times New Roman" w:hAnsi="Calibri" w:cs="Calibri"/>
                <w:color w:val="000000" w:themeColor="dark1"/>
                <w:kern w:val="24"/>
                <w:sz w:val="20"/>
                <w:szCs w:val="20"/>
                <w:lang w:eastAsia="fr-FR"/>
              </w:rPr>
              <w:t>1 FTSG (20h)</w:t>
            </w:r>
          </w:p>
        </w:tc>
        <w:tc>
          <w:tcPr>
            <w:tcW w:w="1134"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04B7908A" w14:textId="77777777" w:rsidR="006F642B" w:rsidRPr="006F642B" w:rsidRDefault="006F642B" w:rsidP="006F642B">
            <w:pPr>
              <w:spacing w:after="0" w:line="240" w:lineRule="auto"/>
              <w:jc w:val="center"/>
              <w:rPr>
                <w:rFonts w:ascii="Arial" w:eastAsia="Times New Roman" w:hAnsi="Arial" w:cs="Arial"/>
                <w:sz w:val="20"/>
                <w:szCs w:val="20"/>
                <w:lang w:eastAsia="fr-FR"/>
              </w:rPr>
            </w:pPr>
            <w:r w:rsidRPr="006F642B">
              <w:rPr>
                <w:rFonts w:ascii="Calibri" w:eastAsia="Times New Roman" w:hAnsi="Calibri" w:cs="Calibri"/>
                <w:color w:val="000000" w:themeColor="dark1"/>
                <w:kern w:val="24"/>
                <w:sz w:val="20"/>
                <w:szCs w:val="20"/>
                <w:lang w:eastAsia="fr-FR"/>
              </w:rPr>
              <w:t>1 200</w:t>
            </w:r>
          </w:p>
        </w:tc>
        <w:tc>
          <w:tcPr>
            <w:tcW w:w="1984"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1130A613" w14:textId="77777777" w:rsidR="006F642B" w:rsidRPr="006F642B" w:rsidRDefault="006F642B" w:rsidP="006F642B">
            <w:pPr>
              <w:spacing w:after="0" w:line="240" w:lineRule="auto"/>
              <w:jc w:val="center"/>
              <w:rPr>
                <w:rFonts w:ascii="Arial" w:eastAsia="Times New Roman" w:hAnsi="Arial" w:cs="Arial"/>
                <w:sz w:val="20"/>
                <w:szCs w:val="20"/>
                <w:lang w:eastAsia="fr-FR"/>
              </w:rPr>
            </w:pPr>
            <w:r w:rsidRPr="006F642B">
              <w:rPr>
                <w:rFonts w:ascii="Calibri" w:eastAsia="Times New Roman" w:hAnsi="Calibri" w:cs="Calibri"/>
                <w:color w:val="000000" w:themeColor="dark1"/>
                <w:kern w:val="24"/>
                <w:sz w:val="20"/>
                <w:szCs w:val="20"/>
                <w:lang w:eastAsia="fr-FR"/>
              </w:rPr>
              <w:t>1 200 (mi tps aussi)</w:t>
            </w:r>
          </w:p>
        </w:tc>
        <w:tc>
          <w:tcPr>
            <w:tcW w:w="1560"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125FD343" w14:textId="77777777" w:rsidR="006F642B" w:rsidRPr="006F642B" w:rsidRDefault="006F642B" w:rsidP="006F642B">
            <w:pPr>
              <w:spacing w:after="0" w:line="240" w:lineRule="auto"/>
              <w:rPr>
                <w:rFonts w:ascii="Arial" w:eastAsia="Times New Roman" w:hAnsi="Arial" w:cs="Arial"/>
                <w:sz w:val="20"/>
                <w:szCs w:val="20"/>
                <w:lang w:eastAsia="fr-FR"/>
              </w:rPr>
            </w:pPr>
          </w:p>
        </w:tc>
      </w:tr>
      <w:tr w:rsidR="006F642B" w:rsidRPr="006F642B" w14:paraId="30F1FA19" w14:textId="77777777" w:rsidTr="006F642B">
        <w:trPr>
          <w:trHeight w:val="254"/>
        </w:trPr>
        <w:tc>
          <w:tcPr>
            <w:tcW w:w="1408"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6E8E546B" w14:textId="77777777" w:rsidR="006F642B" w:rsidRPr="006F642B" w:rsidRDefault="006F642B" w:rsidP="006F642B">
            <w:pPr>
              <w:spacing w:after="0" w:line="240" w:lineRule="auto"/>
              <w:jc w:val="center"/>
              <w:rPr>
                <w:rFonts w:ascii="Arial" w:eastAsia="Times New Roman" w:hAnsi="Arial" w:cs="Arial"/>
                <w:sz w:val="20"/>
                <w:szCs w:val="20"/>
                <w:lang w:eastAsia="fr-FR"/>
              </w:rPr>
            </w:pPr>
            <w:r w:rsidRPr="006F642B">
              <w:rPr>
                <w:rFonts w:ascii="Calibri" w:eastAsia="Times New Roman" w:hAnsi="Calibri" w:cs="Calibri"/>
                <w:color w:val="000000" w:themeColor="dark1"/>
                <w:kern w:val="24"/>
                <w:sz w:val="20"/>
                <w:szCs w:val="20"/>
                <w:lang w:eastAsia="fr-FR"/>
              </w:rPr>
              <w:t>2</w:t>
            </w:r>
          </w:p>
        </w:tc>
        <w:tc>
          <w:tcPr>
            <w:tcW w:w="1134"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6549843B" w14:textId="77777777" w:rsidR="006F642B" w:rsidRPr="006F642B" w:rsidRDefault="006F642B" w:rsidP="006F642B">
            <w:pPr>
              <w:spacing w:after="0" w:line="240" w:lineRule="auto"/>
              <w:jc w:val="center"/>
              <w:rPr>
                <w:rFonts w:ascii="Arial" w:eastAsia="Times New Roman" w:hAnsi="Arial" w:cs="Arial"/>
                <w:sz w:val="20"/>
                <w:szCs w:val="20"/>
                <w:lang w:eastAsia="fr-FR"/>
              </w:rPr>
            </w:pPr>
            <w:r w:rsidRPr="006F642B">
              <w:rPr>
                <w:rFonts w:ascii="Calibri" w:eastAsia="Times New Roman" w:hAnsi="Calibri" w:cs="Calibri"/>
                <w:color w:val="000000" w:themeColor="dark1"/>
                <w:kern w:val="24"/>
                <w:sz w:val="20"/>
                <w:szCs w:val="20"/>
                <w:lang w:eastAsia="fr-FR"/>
              </w:rPr>
              <w:t>2 200</w:t>
            </w:r>
          </w:p>
        </w:tc>
        <w:tc>
          <w:tcPr>
            <w:tcW w:w="1984"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5062BE73" w14:textId="77777777" w:rsidR="006F642B" w:rsidRPr="006F642B" w:rsidRDefault="006F642B" w:rsidP="006F642B">
            <w:pPr>
              <w:spacing w:after="0" w:line="240" w:lineRule="auto"/>
              <w:jc w:val="center"/>
              <w:rPr>
                <w:rFonts w:ascii="Arial" w:eastAsia="Times New Roman" w:hAnsi="Arial" w:cs="Arial"/>
                <w:sz w:val="20"/>
                <w:szCs w:val="20"/>
                <w:lang w:eastAsia="fr-FR"/>
              </w:rPr>
            </w:pPr>
            <w:r w:rsidRPr="006F642B">
              <w:rPr>
                <w:rFonts w:ascii="Calibri" w:eastAsia="Times New Roman" w:hAnsi="Calibri" w:cs="Calibri"/>
                <w:color w:val="000000" w:themeColor="dark1"/>
                <w:kern w:val="24"/>
                <w:sz w:val="20"/>
                <w:szCs w:val="20"/>
                <w:lang w:eastAsia="fr-FR"/>
              </w:rPr>
              <w:t>2 867</w:t>
            </w:r>
          </w:p>
        </w:tc>
        <w:tc>
          <w:tcPr>
            <w:tcW w:w="156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773114A5" w14:textId="77777777" w:rsidR="006F642B" w:rsidRPr="006F642B" w:rsidRDefault="006F642B" w:rsidP="006F642B">
            <w:pPr>
              <w:spacing w:after="0" w:line="240" w:lineRule="auto"/>
              <w:jc w:val="center"/>
              <w:rPr>
                <w:rFonts w:ascii="Arial" w:eastAsia="Times New Roman" w:hAnsi="Arial" w:cs="Arial"/>
                <w:sz w:val="20"/>
                <w:szCs w:val="20"/>
                <w:lang w:eastAsia="fr-FR"/>
              </w:rPr>
            </w:pPr>
            <w:r w:rsidRPr="006F642B">
              <w:rPr>
                <w:rFonts w:ascii="Calibri" w:eastAsia="Times New Roman" w:hAnsi="Calibri" w:cs="Calibri"/>
                <w:color w:val="000000" w:themeColor="dark1"/>
                <w:kern w:val="24"/>
                <w:sz w:val="20"/>
                <w:szCs w:val="20"/>
                <w:lang w:eastAsia="fr-FR"/>
              </w:rPr>
              <w:t>+ 667</w:t>
            </w:r>
          </w:p>
        </w:tc>
      </w:tr>
      <w:tr w:rsidR="006F642B" w:rsidRPr="006F642B" w14:paraId="473C3211" w14:textId="77777777" w:rsidTr="006F642B">
        <w:trPr>
          <w:trHeight w:val="402"/>
        </w:trPr>
        <w:tc>
          <w:tcPr>
            <w:tcW w:w="1408"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4E146A2C" w14:textId="77777777" w:rsidR="006F642B" w:rsidRPr="006F642B" w:rsidRDefault="006F642B" w:rsidP="006F642B">
            <w:pPr>
              <w:spacing w:after="0" w:line="240" w:lineRule="auto"/>
              <w:jc w:val="center"/>
              <w:rPr>
                <w:rFonts w:ascii="Arial" w:eastAsia="Times New Roman" w:hAnsi="Arial" w:cs="Arial"/>
                <w:sz w:val="20"/>
                <w:szCs w:val="20"/>
                <w:lang w:eastAsia="fr-FR"/>
              </w:rPr>
            </w:pPr>
            <w:r w:rsidRPr="006F642B">
              <w:rPr>
                <w:rFonts w:ascii="Calibri" w:eastAsia="Times New Roman" w:hAnsi="Calibri" w:cs="Calibri"/>
                <w:color w:val="000000" w:themeColor="dark1"/>
                <w:kern w:val="24"/>
                <w:sz w:val="20"/>
                <w:szCs w:val="20"/>
                <w:lang w:eastAsia="fr-FR"/>
              </w:rPr>
              <w:lastRenderedPageBreak/>
              <w:t>3</w:t>
            </w:r>
          </w:p>
        </w:tc>
        <w:tc>
          <w:tcPr>
            <w:tcW w:w="1134"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0039F2B4" w14:textId="77777777" w:rsidR="006F642B" w:rsidRPr="006F642B" w:rsidRDefault="006F642B" w:rsidP="006F642B">
            <w:pPr>
              <w:spacing w:after="0" w:line="240" w:lineRule="auto"/>
              <w:jc w:val="center"/>
              <w:rPr>
                <w:rFonts w:ascii="Arial" w:eastAsia="Times New Roman" w:hAnsi="Arial" w:cs="Arial"/>
                <w:sz w:val="20"/>
                <w:szCs w:val="20"/>
                <w:lang w:eastAsia="fr-FR"/>
              </w:rPr>
            </w:pPr>
            <w:r w:rsidRPr="006F642B">
              <w:rPr>
                <w:rFonts w:ascii="Calibri" w:eastAsia="Times New Roman" w:hAnsi="Calibri" w:cs="Calibri"/>
                <w:color w:val="000000" w:themeColor="dark1"/>
                <w:kern w:val="24"/>
                <w:sz w:val="20"/>
                <w:szCs w:val="20"/>
                <w:lang w:eastAsia="fr-FR"/>
              </w:rPr>
              <w:t>2 050</w:t>
            </w:r>
          </w:p>
        </w:tc>
        <w:tc>
          <w:tcPr>
            <w:tcW w:w="1984"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4A209944" w14:textId="77777777" w:rsidR="006F642B" w:rsidRPr="006F642B" w:rsidRDefault="006F642B" w:rsidP="006F642B">
            <w:pPr>
              <w:spacing w:after="0" w:line="240" w:lineRule="auto"/>
              <w:jc w:val="center"/>
              <w:rPr>
                <w:rFonts w:ascii="Arial" w:eastAsia="Times New Roman" w:hAnsi="Arial" w:cs="Arial"/>
                <w:sz w:val="20"/>
                <w:szCs w:val="20"/>
                <w:lang w:eastAsia="fr-FR"/>
              </w:rPr>
            </w:pPr>
            <w:r w:rsidRPr="006F642B">
              <w:rPr>
                <w:rFonts w:ascii="Calibri" w:eastAsia="Times New Roman" w:hAnsi="Calibri" w:cs="Calibri"/>
                <w:color w:val="000000" w:themeColor="dark1"/>
                <w:kern w:val="24"/>
                <w:sz w:val="20"/>
                <w:szCs w:val="20"/>
                <w:lang w:eastAsia="fr-FR"/>
              </w:rPr>
              <w:t>3 178</w:t>
            </w:r>
          </w:p>
        </w:tc>
        <w:tc>
          <w:tcPr>
            <w:tcW w:w="156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5FA4902F" w14:textId="77777777" w:rsidR="006F642B" w:rsidRPr="006F642B" w:rsidRDefault="006F642B" w:rsidP="006F642B">
            <w:pPr>
              <w:spacing w:after="0" w:line="240" w:lineRule="auto"/>
              <w:jc w:val="center"/>
              <w:rPr>
                <w:rFonts w:ascii="Arial" w:eastAsia="Times New Roman" w:hAnsi="Arial" w:cs="Arial"/>
                <w:sz w:val="20"/>
                <w:szCs w:val="20"/>
                <w:lang w:eastAsia="fr-FR"/>
              </w:rPr>
            </w:pPr>
            <w:r w:rsidRPr="006F642B">
              <w:rPr>
                <w:rFonts w:ascii="Calibri" w:eastAsia="Times New Roman" w:hAnsi="Calibri" w:cs="Calibri"/>
                <w:color w:val="000000" w:themeColor="dark1"/>
                <w:kern w:val="24"/>
                <w:sz w:val="20"/>
                <w:szCs w:val="20"/>
                <w:lang w:eastAsia="fr-FR"/>
              </w:rPr>
              <w:t>+ 1 128</w:t>
            </w:r>
          </w:p>
        </w:tc>
      </w:tr>
      <w:tr w:rsidR="006F642B" w:rsidRPr="006F642B" w14:paraId="17194516" w14:textId="77777777" w:rsidTr="006F642B">
        <w:trPr>
          <w:trHeight w:val="268"/>
        </w:trPr>
        <w:tc>
          <w:tcPr>
            <w:tcW w:w="1408"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6B598B97" w14:textId="77777777" w:rsidR="006F642B" w:rsidRPr="006F642B" w:rsidRDefault="006F642B" w:rsidP="006F642B">
            <w:pPr>
              <w:spacing w:after="0" w:line="240" w:lineRule="auto"/>
              <w:jc w:val="center"/>
              <w:rPr>
                <w:rFonts w:ascii="Arial" w:eastAsia="Times New Roman" w:hAnsi="Arial" w:cs="Arial"/>
                <w:sz w:val="20"/>
                <w:szCs w:val="20"/>
                <w:lang w:eastAsia="fr-FR"/>
              </w:rPr>
            </w:pPr>
            <w:r w:rsidRPr="006F642B">
              <w:rPr>
                <w:rFonts w:ascii="Calibri" w:eastAsia="Times New Roman" w:hAnsi="Calibri" w:cs="Calibri"/>
                <w:color w:val="000000" w:themeColor="dark1"/>
                <w:kern w:val="24"/>
                <w:sz w:val="20"/>
                <w:szCs w:val="20"/>
                <w:lang w:eastAsia="fr-FR"/>
              </w:rPr>
              <w:t>4</w:t>
            </w:r>
          </w:p>
        </w:tc>
        <w:tc>
          <w:tcPr>
            <w:tcW w:w="1134"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654D22C1" w14:textId="77777777" w:rsidR="006F642B" w:rsidRPr="006F642B" w:rsidRDefault="006F642B" w:rsidP="006F642B">
            <w:pPr>
              <w:spacing w:after="0" w:line="240" w:lineRule="auto"/>
              <w:jc w:val="center"/>
              <w:rPr>
                <w:rFonts w:ascii="Arial" w:eastAsia="Times New Roman" w:hAnsi="Arial" w:cs="Arial"/>
                <w:sz w:val="20"/>
                <w:szCs w:val="20"/>
                <w:lang w:eastAsia="fr-FR"/>
              </w:rPr>
            </w:pPr>
            <w:r w:rsidRPr="006F642B">
              <w:rPr>
                <w:rFonts w:ascii="Calibri" w:eastAsia="Times New Roman" w:hAnsi="Calibri" w:cs="Calibri"/>
                <w:color w:val="000000" w:themeColor="dark1"/>
                <w:kern w:val="24"/>
                <w:sz w:val="20"/>
                <w:szCs w:val="20"/>
                <w:lang w:eastAsia="fr-FR"/>
              </w:rPr>
              <w:t>1 500</w:t>
            </w:r>
          </w:p>
        </w:tc>
        <w:tc>
          <w:tcPr>
            <w:tcW w:w="1984"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5B3B2C8A" w14:textId="77777777" w:rsidR="006F642B" w:rsidRPr="006F642B" w:rsidRDefault="006F642B" w:rsidP="006F642B">
            <w:pPr>
              <w:spacing w:after="0" w:line="240" w:lineRule="auto"/>
              <w:jc w:val="center"/>
              <w:rPr>
                <w:rFonts w:ascii="Arial" w:eastAsia="Times New Roman" w:hAnsi="Arial" w:cs="Arial"/>
                <w:sz w:val="20"/>
                <w:szCs w:val="20"/>
                <w:lang w:eastAsia="fr-FR"/>
              </w:rPr>
            </w:pPr>
            <w:r w:rsidRPr="006F642B">
              <w:rPr>
                <w:rFonts w:ascii="Calibri" w:eastAsia="Times New Roman" w:hAnsi="Calibri" w:cs="Calibri"/>
                <w:color w:val="000000" w:themeColor="dark1"/>
                <w:kern w:val="24"/>
                <w:sz w:val="20"/>
                <w:szCs w:val="20"/>
                <w:lang w:eastAsia="fr-FR"/>
              </w:rPr>
              <w:t>2 628</w:t>
            </w:r>
          </w:p>
        </w:tc>
        <w:tc>
          <w:tcPr>
            <w:tcW w:w="156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08288F97" w14:textId="77777777" w:rsidR="006F642B" w:rsidRPr="006F642B" w:rsidRDefault="006F642B" w:rsidP="006F642B">
            <w:pPr>
              <w:spacing w:after="0" w:line="240" w:lineRule="auto"/>
              <w:jc w:val="center"/>
              <w:rPr>
                <w:rFonts w:ascii="Arial" w:eastAsia="Times New Roman" w:hAnsi="Arial" w:cs="Arial"/>
                <w:sz w:val="20"/>
                <w:szCs w:val="20"/>
                <w:lang w:eastAsia="fr-FR"/>
              </w:rPr>
            </w:pPr>
            <w:r w:rsidRPr="006F642B">
              <w:rPr>
                <w:rFonts w:ascii="Calibri" w:eastAsia="Times New Roman" w:hAnsi="Calibri" w:cs="Calibri"/>
                <w:color w:val="000000" w:themeColor="dark1"/>
                <w:kern w:val="24"/>
                <w:sz w:val="20"/>
                <w:szCs w:val="20"/>
                <w:lang w:eastAsia="fr-FR"/>
              </w:rPr>
              <w:t>+1 128</w:t>
            </w:r>
          </w:p>
        </w:tc>
      </w:tr>
      <w:tr w:rsidR="006F642B" w:rsidRPr="006F642B" w14:paraId="64EF9393" w14:textId="77777777" w:rsidTr="006F642B">
        <w:trPr>
          <w:trHeight w:val="260"/>
        </w:trPr>
        <w:tc>
          <w:tcPr>
            <w:tcW w:w="1408"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3F7C1D6E" w14:textId="77777777" w:rsidR="006F642B" w:rsidRPr="006F642B" w:rsidRDefault="006F642B" w:rsidP="006F642B">
            <w:pPr>
              <w:spacing w:after="0" w:line="240" w:lineRule="auto"/>
              <w:jc w:val="center"/>
              <w:rPr>
                <w:rFonts w:ascii="Arial" w:eastAsia="Times New Roman" w:hAnsi="Arial" w:cs="Arial"/>
                <w:sz w:val="20"/>
                <w:szCs w:val="20"/>
                <w:lang w:eastAsia="fr-FR"/>
              </w:rPr>
            </w:pPr>
            <w:r w:rsidRPr="006F642B">
              <w:rPr>
                <w:rFonts w:ascii="Calibri" w:eastAsia="Times New Roman" w:hAnsi="Calibri" w:cs="Calibri"/>
                <w:color w:val="000000" w:themeColor="dark1"/>
                <w:kern w:val="24"/>
                <w:sz w:val="20"/>
                <w:szCs w:val="20"/>
                <w:lang w:eastAsia="fr-FR"/>
              </w:rPr>
              <w:t>5</w:t>
            </w:r>
          </w:p>
        </w:tc>
        <w:tc>
          <w:tcPr>
            <w:tcW w:w="1134"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1781E6E5" w14:textId="77777777" w:rsidR="006F642B" w:rsidRPr="006F642B" w:rsidRDefault="006F642B" w:rsidP="006F642B">
            <w:pPr>
              <w:spacing w:after="0" w:line="240" w:lineRule="auto"/>
              <w:jc w:val="center"/>
              <w:rPr>
                <w:rFonts w:ascii="Arial" w:eastAsia="Times New Roman" w:hAnsi="Arial" w:cs="Arial"/>
                <w:sz w:val="20"/>
                <w:szCs w:val="20"/>
                <w:lang w:eastAsia="fr-FR"/>
              </w:rPr>
            </w:pPr>
            <w:r w:rsidRPr="006F642B">
              <w:rPr>
                <w:rFonts w:ascii="Calibri" w:eastAsia="Times New Roman" w:hAnsi="Calibri" w:cs="Calibri"/>
                <w:color w:val="000000" w:themeColor="dark1"/>
                <w:kern w:val="24"/>
                <w:sz w:val="20"/>
                <w:szCs w:val="20"/>
                <w:lang w:eastAsia="fr-FR"/>
              </w:rPr>
              <w:t>1 100</w:t>
            </w:r>
          </w:p>
        </w:tc>
        <w:tc>
          <w:tcPr>
            <w:tcW w:w="1984"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6D83A22D" w14:textId="77777777" w:rsidR="006F642B" w:rsidRPr="006F642B" w:rsidRDefault="006F642B" w:rsidP="006F642B">
            <w:pPr>
              <w:spacing w:after="0" w:line="240" w:lineRule="auto"/>
              <w:jc w:val="center"/>
              <w:rPr>
                <w:rFonts w:ascii="Arial" w:eastAsia="Times New Roman" w:hAnsi="Arial" w:cs="Arial"/>
                <w:sz w:val="20"/>
                <w:szCs w:val="20"/>
                <w:lang w:eastAsia="fr-FR"/>
              </w:rPr>
            </w:pPr>
            <w:r w:rsidRPr="006F642B">
              <w:rPr>
                <w:rFonts w:ascii="Calibri" w:eastAsia="Times New Roman" w:hAnsi="Calibri" w:cs="Calibri"/>
                <w:color w:val="000000" w:themeColor="dark1"/>
                <w:kern w:val="24"/>
                <w:sz w:val="20"/>
                <w:szCs w:val="20"/>
                <w:lang w:eastAsia="fr-FR"/>
              </w:rPr>
              <w:t>2 621</w:t>
            </w:r>
          </w:p>
        </w:tc>
        <w:tc>
          <w:tcPr>
            <w:tcW w:w="156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6DF18105" w14:textId="77777777" w:rsidR="006F642B" w:rsidRPr="006F642B" w:rsidRDefault="006F642B" w:rsidP="006F642B">
            <w:pPr>
              <w:spacing w:after="0" w:line="240" w:lineRule="auto"/>
              <w:jc w:val="center"/>
              <w:rPr>
                <w:rFonts w:ascii="Arial" w:eastAsia="Times New Roman" w:hAnsi="Arial" w:cs="Arial"/>
                <w:sz w:val="20"/>
                <w:szCs w:val="20"/>
                <w:lang w:eastAsia="fr-FR"/>
              </w:rPr>
            </w:pPr>
            <w:r w:rsidRPr="006F642B">
              <w:rPr>
                <w:rFonts w:ascii="Calibri" w:eastAsia="Times New Roman" w:hAnsi="Calibri" w:cs="Calibri"/>
                <w:color w:val="000000" w:themeColor="dark1"/>
                <w:kern w:val="24"/>
                <w:sz w:val="20"/>
                <w:szCs w:val="20"/>
                <w:lang w:eastAsia="fr-FR"/>
              </w:rPr>
              <w:t>+ 1 521</w:t>
            </w:r>
          </w:p>
        </w:tc>
      </w:tr>
      <w:tr w:rsidR="006F642B" w:rsidRPr="006F642B" w14:paraId="2934C7BD" w14:textId="77777777" w:rsidTr="006F642B">
        <w:trPr>
          <w:trHeight w:val="407"/>
        </w:trPr>
        <w:tc>
          <w:tcPr>
            <w:tcW w:w="1408"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55FD6ADB" w14:textId="77777777" w:rsidR="006F642B" w:rsidRPr="006F642B" w:rsidRDefault="006F642B" w:rsidP="006F642B">
            <w:pPr>
              <w:spacing w:after="0" w:line="240" w:lineRule="auto"/>
              <w:jc w:val="center"/>
              <w:rPr>
                <w:rFonts w:ascii="Arial" w:eastAsia="Times New Roman" w:hAnsi="Arial" w:cs="Arial"/>
                <w:sz w:val="20"/>
                <w:szCs w:val="20"/>
                <w:lang w:eastAsia="fr-FR"/>
              </w:rPr>
            </w:pPr>
            <w:r w:rsidRPr="006F642B">
              <w:rPr>
                <w:rFonts w:ascii="Calibri" w:eastAsia="Times New Roman" w:hAnsi="Calibri" w:cs="Calibri"/>
                <w:color w:val="000000" w:themeColor="dark1"/>
                <w:kern w:val="24"/>
                <w:sz w:val="20"/>
                <w:szCs w:val="20"/>
                <w:lang w:eastAsia="fr-FR"/>
              </w:rPr>
              <w:t>6</w:t>
            </w:r>
          </w:p>
        </w:tc>
        <w:tc>
          <w:tcPr>
            <w:tcW w:w="1134"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75F94872" w14:textId="77777777" w:rsidR="006F642B" w:rsidRPr="006F642B" w:rsidRDefault="006F642B" w:rsidP="006F642B">
            <w:pPr>
              <w:spacing w:after="0" w:line="240" w:lineRule="auto"/>
              <w:jc w:val="center"/>
              <w:rPr>
                <w:rFonts w:ascii="Arial" w:eastAsia="Times New Roman" w:hAnsi="Arial" w:cs="Arial"/>
                <w:sz w:val="20"/>
                <w:szCs w:val="20"/>
                <w:lang w:eastAsia="fr-FR"/>
              </w:rPr>
            </w:pPr>
            <w:r w:rsidRPr="006F642B">
              <w:rPr>
                <w:rFonts w:ascii="Calibri" w:eastAsia="Times New Roman" w:hAnsi="Calibri" w:cs="Calibri"/>
                <w:color w:val="000000" w:themeColor="dark1"/>
                <w:kern w:val="24"/>
                <w:sz w:val="20"/>
                <w:szCs w:val="20"/>
                <w:lang w:eastAsia="fr-FR"/>
              </w:rPr>
              <w:t xml:space="preserve">900 </w:t>
            </w:r>
          </w:p>
        </w:tc>
        <w:tc>
          <w:tcPr>
            <w:tcW w:w="1984"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775D2509" w14:textId="77777777" w:rsidR="006F642B" w:rsidRPr="006F642B" w:rsidRDefault="006F642B" w:rsidP="006F642B">
            <w:pPr>
              <w:spacing w:after="0" w:line="240" w:lineRule="auto"/>
              <w:jc w:val="center"/>
              <w:rPr>
                <w:rFonts w:ascii="Arial" w:eastAsia="Times New Roman" w:hAnsi="Arial" w:cs="Arial"/>
                <w:sz w:val="20"/>
                <w:szCs w:val="20"/>
                <w:lang w:eastAsia="fr-FR"/>
              </w:rPr>
            </w:pPr>
            <w:r w:rsidRPr="006F642B">
              <w:rPr>
                <w:rFonts w:ascii="Calibri" w:eastAsia="Times New Roman" w:hAnsi="Calibri" w:cs="Calibri"/>
                <w:color w:val="000000" w:themeColor="dark1"/>
                <w:kern w:val="24"/>
                <w:sz w:val="20"/>
                <w:szCs w:val="20"/>
                <w:lang w:eastAsia="fr-FR"/>
              </w:rPr>
              <w:t>2 268</w:t>
            </w:r>
          </w:p>
        </w:tc>
        <w:tc>
          <w:tcPr>
            <w:tcW w:w="156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4B62D290" w14:textId="77777777" w:rsidR="006F642B" w:rsidRPr="006F642B" w:rsidRDefault="006F642B" w:rsidP="006F642B">
            <w:pPr>
              <w:spacing w:after="0" w:line="240" w:lineRule="auto"/>
              <w:jc w:val="center"/>
              <w:rPr>
                <w:rFonts w:ascii="Arial" w:eastAsia="Times New Roman" w:hAnsi="Arial" w:cs="Arial"/>
                <w:sz w:val="20"/>
                <w:szCs w:val="20"/>
                <w:lang w:eastAsia="fr-FR"/>
              </w:rPr>
            </w:pPr>
            <w:r w:rsidRPr="006F642B">
              <w:rPr>
                <w:rFonts w:ascii="Calibri" w:eastAsia="Times New Roman" w:hAnsi="Calibri" w:cs="Calibri"/>
                <w:color w:val="000000" w:themeColor="dark1"/>
                <w:kern w:val="24"/>
                <w:sz w:val="20"/>
                <w:szCs w:val="20"/>
                <w:lang w:eastAsia="fr-FR"/>
              </w:rPr>
              <w:t>+ 1 368</w:t>
            </w:r>
          </w:p>
        </w:tc>
      </w:tr>
      <w:tr w:rsidR="006F642B" w:rsidRPr="006F642B" w14:paraId="1EFF71A7" w14:textId="77777777" w:rsidTr="006F642B">
        <w:trPr>
          <w:trHeight w:val="387"/>
        </w:trPr>
        <w:tc>
          <w:tcPr>
            <w:tcW w:w="1408"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68DF66F0" w14:textId="77777777" w:rsidR="006F642B" w:rsidRPr="006F642B" w:rsidRDefault="006F642B" w:rsidP="006F642B">
            <w:pPr>
              <w:spacing w:after="0" w:line="240" w:lineRule="auto"/>
              <w:jc w:val="center"/>
              <w:rPr>
                <w:rFonts w:ascii="Arial" w:eastAsia="Times New Roman" w:hAnsi="Arial" w:cs="Arial"/>
                <w:sz w:val="20"/>
                <w:szCs w:val="20"/>
                <w:lang w:eastAsia="fr-FR"/>
              </w:rPr>
            </w:pPr>
            <w:r w:rsidRPr="006F642B">
              <w:rPr>
                <w:rFonts w:ascii="Calibri" w:eastAsia="Times New Roman" w:hAnsi="Calibri" w:cs="Calibri"/>
                <w:color w:val="000000" w:themeColor="dark1"/>
                <w:kern w:val="24"/>
                <w:sz w:val="20"/>
                <w:szCs w:val="20"/>
                <w:lang w:eastAsia="fr-FR"/>
              </w:rPr>
              <w:t>7</w:t>
            </w:r>
          </w:p>
        </w:tc>
        <w:tc>
          <w:tcPr>
            <w:tcW w:w="1134"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5D7CF7C0" w14:textId="77777777" w:rsidR="006F642B" w:rsidRPr="006F642B" w:rsidRDefault="006F642B" w:rsidP="006F642B">
            <w:pPr>
              <w:spacing w:after="0" w:line="240" w:lineRule="auto"/>
              <w:jc w:val="center"/>
              <w:rPr>
                <w:rFonts w:ascii="Arial" w:eastAsia="Times New Roman" w:hAnsi="Arial" w:cs="Arial"/>
                <w:sz w:val="20"/>
                <w:szCs w:val="20"/>
                <w:lang w:eastAsia="fr-FR"/>
              </w:rPr>
            </w:pPr>
            <w:r w:rsidRPr="006F642B">
              <w:rPr>
                <w:rFonts w:ascii="Calibri" w:eastAsia="Times New Roman" w:hAnsi="Calibri" w:cs="Calibri"/>
                <w:color w:val="000000" w:themeColor="dark1"/>
                <w:kern w:val="24"/>
                <w:sz w:val="20"/>
                <w:szCs w:val="20"/>
                <w:lang w:eastAsia="fr-FR"/>
              </w:rPr>
              <w:t>900</w:t>
            </w:r>
          </w:p>
        </w:tc>
        <w:tc>
          <w:tcPr>
            <w:tcW w:w="1984"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1E39768A" w14:textId="77777777" w:rsidR="006F642B" w:rsidRPr="006F642B" w:rsidRDefault="006F642B" w:rsidP="006F642B">
            <w:pPr>
              <w:spacing w:after="0" w:line="240" w:lineRule="auto"/>
              <w:jc w:val="center"/>
              <w:rPr>
                <w:rFonts w:ascii="Arial" w:eastAsia="Times New Roman" w:hAnsi="Arial" w:cs="Arial"/>
                <w:sz w:val="20"/>
                <w:szCs w:val="20"/>
                <w:lang w:eastAsia="fr-FR"/>
              </w:rPr>
            </w:pPr>
            <w:r w:rsidRPr="006F642B">
              <w:rPr>
                <w:rFonts w:ascii="Calibri" w:eastAsia="Times New Roman" w:hAnsi="Calibri" w:cs="Calibri"/>
                <w:color w:val="000000" w:themeColor="dark1"/>
                <w:kern w:val="24"/>
                <w:sz w:val="20"/>
                <w:szCs w:val="20"/>
                <w:lang w:eastAsia="fr-FR"/>
              </w:rPr>
              <w:t>1 413</w:t>
            </w:r>
          </w:p>
        </w:tc>
        <w:tc>
          <w:tcPr>
            <w:tcW w:w="156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1D85544B" w14:textId="77777777" w:rsidR="006F642B" w:rsidRPr="006F642B" w:rsidRDefault="006F642B" w:rsidP="006F642B">
            <w:pPr>
              <w:spacing w:after="0" w:line="240" w:lineRule="auto"/>
              <w:jc w:val="center"/>
              <w:rPr>
                <w:rFonts w:ascii="Arial" w:eastAsia="Times New Roman" w:hAnsi="Arial" w:cs="Arial"/>
                <w:sz w:val="20"/>
                <w:szCs w:val="20"/>
                <w:lang w:eastAsia="fr-FR"/>
              </w:rPr>
            </w:pPr>
            <w:r w:rsidRPr="006F642B">
              <w:rPr>
                <w:rFonts w:ascii="Calibri" w:eastAsia="Times New Roman" w:hAnsi="Calibri" w:cs="Calibri"/>
                <w:color w:val="000000" w:themeColor="dark1"/>
                <w:kern w:val="24"/>
                <w:sz w:val="20"/>
                <w:szCs w:val="20"/>
                <w:lang w:eastAsia="fr-FR"/>
              </w:rPr>
              <w:t>+ 513</w:t>
            </w:r>
          </w:p>
        </w:tc>
      </w:tr>
      <w:tr w:rsidR="006F642B" w:rsidRPr="006F642B" w14:paraId="5FF0291C" w14:textId="77777777" w:rsidTr="006F642B">
        <w:trPr>
          <w:trHeight w:val="551"/>
        </w:trPr>
        <w:tc>
          <w:tcPr>
            <w:tcW w:w="1408"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48B7D42E" w14:textId="77777777" w:rsidR="006F642B" w:rsidRPr="006F642B" w:rsidRDefault="006F642B" w:rsidP="006F642B">
            <w:pPr>
              <w:spacing w:after="0" w:line="240" w:lineRule="auto"/>
              <w:jc w:val="center"/>
              <w:rPr>
                <w:rFonts w:ascii="Arial" w:eastAsia="Times New Roman" w:hAnsi="Arial" w:cs="Arial"/>
                <w:sz w:val="20"/>
                <w:szCs w:val="20"/>
                <w:lang w:eastAsia="fr-FR"/>
              </w:rPr>
            </w:pPr>
            <w:r w:rsidRPr="006F642B">
              <w:rPr>
                <w:rFonts w:ascii="Calibri" w:eastAsia="Times New Roman" w:hAnsi="Calibri" w:cs="Calibri"/>
                <w:color w:val="000000" w:themeColor="dark1"/>
                <w:kern w:val="24"/>
                <w:sz w:val="20"/>
                <w:szCs w:val="20"/>
                <w:lang w:eastAsia="fr-FR"/>
              </w:rPr>
              <w:t>8</w:t>
            </w:r>
          </w:p>
        </w:tc>
        <w:tc>
          <w:tcPr>
            <w:tcW w:w="1134"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4F53D19C" w14:textId="77777777" w:rsidR="006F642B" w:rsidRPr="006F642B" w:rsidRDefault="006F642B" w:rsidP="006F642B">
            <w:pPr>
              <w:spacing w:after="0" w:line="240" w:lineRule="auto"/>
              <w:jc w:val="center"/>
              <w:rPr>
                <w:rFonts w:ascii="Arial" w:eastAsia="Times New Roman" w:hAnsi="Arial" w:cs="Arial"/>
                <w:sz w:val="20"/>
                <w:szCs w:val="20"/>
                <w:lang w:eastAsia="fr-FR"/>
              </w:rPr>
            </w:pPr>
            <w:r w:rsidRPr="006F642B">
              <w:rPr>
                <w:rFonts w:ascii="Calibri" w:eastAsia="Times New Roman" w:hAnsi="Calibri" w:cs="Calibri"/>
                <w:color w:val="000000" w:themeColor="dark1"/>
                <w:kern w:val="24"/>
                <w:sz w:val="20"/>
                <w:szCs w:val="20"/>
                <w:lang w:eastAsia="fr-FR"/>
              </w:rPr>
              <w:t>400</w:t>
            </w:r>
          </w:p>
        </w:tc>
        <w:tc>
          <w:tcPr>
            <w:tcW w:w="1984"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5D9D32E6" w14:textId="13B1CD6C" w:rsidR="006F642B" w:rsidRPr="006F642B" w:rsidRDefault="006F642B" w:rsidP="006F642B">
            <w:pPr>
              <w:spacing w:after="0" w:line="240" w:lineRule="auto"/>
              <w:jc w:val="center"/>
              <w:rPr>
                <w:rFonts w:ascii="Arial" w:eastAsia="Times New Roman" w:hAnsi="Arial" w:cs="Arial"/>
                <w:sz w:val="20"/>
                <w:szCs w:val="20"/>
                <w:lang w:eastAsia="fr-FR"/>
              </w:rPr>
            </w:pPr>
            <w:r w:rsidRPr="00ED33A7">
              <w:rPr>
                <w:rFonts w:ascii="Calibri" w:eastAsia="Times New Roman" w:hAnsi="Calibri" w:cs="Calibri"/>
                <w:kern w:val="24"/>
                <w:sz w:val="20"/>
                <w:szCs w:val="20"/>
                <w:lang w:eastAsia="fr-FR"/>
              </w:rPr>
              <w:t xml:space="preserve">400 </w:t>
            </w:r>
          </w:p>
        </w:tc>
        <w:tc>
          <w:tcPr>
            <w:tcW w:w="156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72B68A9A" w14:textId="77777777" w:rsidR="006F642B" w:rsidRPr="006F642B" w:rsidRDefault="006F642B" w:rsidP="006F642B">
            <w:pPr>
              <w:spacing w:after="0" w:line="240" w:lineRule="auto"/>
              <w:jc w:val="center"/>
              <w:rPr>
                <w:rFonts w:ascii="Arial" w:eastAsia="Times New Roman" w:hAnsi="Arial" w:cs="Arial"/>
                <w:sz w:val="20"/>
                <w:szCs w:val="20"/>
                <w:lang w:eastAsia="fr-FR"/>
              </w:rPr>
            </w:pPr>
            <w:r w:rsidRPr="006F642B">
              <w:rPr>
                <w:rFonts w:ascii="Calibri" w:eastAsia="Times New Roman" w:hAnsi="Calibri" w:cs="Calibri"/>
                <w:color w:val="000000" w:themeColor="dark1"/>
                <w:kern w:val="24"/>
                <w:sz w:val="20"/>
                <w:szCs w:val="20"/>
                <w:lang w:eastAsia="fr-FR"/>
              </w:rPr>
              <w:t>0</w:t>
            </w:r>
          </w:p>
        </w:tc>
      </w:tr>
      <w:tr w:rsidR="006F642B" w:rsidRPr="006F642B" w14:paraId="5B755BFB" w14:textId="77777777" w:rsidTr="006F642B">
        <w:trPr>
          <w:trHeight w:val="548"/>
        </w:trPr>
        <w:tc>
          <w:tcPr>
            <w:tcW w:w="1408"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1B65F80F" w14:textId="77777777" w:rsidR="006F642B" w:rsidRPr="006F642B" w:rsidRDefault="006F642B" w:rsidP="006F642B">
            <w:pPr>
              <w:spacing w:after="0" w:line="240" w:lineRule="auto"/>
              <w:jc w:val="center"/>
              <w:rPr>
                <w:rFonts w:ascii="Arial" w:eastAsia="Times New Roman" w:hAnsi="Arial" w:cs="Arial"/>
                <w:sz w:val="20"/>
                <w:szCs w:val="20"/>
                <w:lang w:eastAsia="fr-FR"/>
              </w:rPr>
            </w:pPr>
            <w:r w:rsidRPr="006F642B">
              <w:rPr>
                <w:rFonts w:ascii="Calibri" w:eastAsia="Times New Roman" w:hAnsi="Calibri" w:cs="Calibri"/>
                <w:color w:val="000000" w:themeColor="dark1"/>
                <w:kern w:val="24"/>
                <w:sz w:val="20"/>
                <w:szCs w:val="20"/>
                <w:lang w:eastAsia="fr-FR"/>
              </w:rPr>
              <w:t>9</w:t>
            </w:r>
          </w:p>
        </w:tc>
        <w:tc>
          <w:tcPr>
            <w:tcW w:w="1134"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31EA059B" w14:textId="77777777" w:rsidR="006F642B" w:rsidRPr="006F642B" w:rsidRDefault="006F642B" w:rsidP="006F642B">
            <w:pPr>
              <w:spacing w:after="0" w:line="240" w:lineRule="auto"/>
              <w:jc w:val="center"/>
              <w:rPr>
                <w:rFonts w:ascii="Arial" w:eastAsia="Times New Roman" w:hAnsi="Arial" w:cs="Arial"/>
                <w:sz w:val="20"/>
                <w:szCs w:val="20"/>
                <w:lang w:eastAsia="fr-FR"/>
              </w:rPr>
            </w:pPr>
            <w:r w:rsidRPr="006F642B">
              <w:rPr>
                <w:rFonts w:ascii="Calibri" w:eastAsia="Times New Roman" w:hAnsi="Calibri" w:cs="Calibri"/>
                <w:color w:val="000000" w:themeColor="dark1"/>
                <w:kern w:val="24"/>
                <w:sz w:val="20"/>
                <w:szCs w:val="20"/>
                <w:lang w:eastAsia="fr-FR"/>
              </w:rPr>
              <w:t>400</w:t>
            </w:r>
          </w:p>
        </w:tc>
        <w:tc>
          <w:tcPr>
            <w:tcW w:w="1984"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79E5E0F3" w14:textId="27226B12" w:rsidR="006F642B" w:rsidRPr="006F642B" w:rsidRDefault="006F642B" w:rsidP="006F642B">
            <w:pPr>
              <w:spacing w:after="0" w:line="240" w:lineRule="auto"/>
              <w:jc w:val="center"/>
              <w:rPr>
                <w:rFonts w:ascii="Arial" w:eastAsia="Times New Roman" w:hAnsi="Arial" w:cs="Arial"/>
                <w:sz w:val="20"/>
                <w:szCs w:val="20"/>
                <w:lang w:eastAsia="fr-FR"/>
              </w:rPr>
            </w:pPr>
            <w:r w:rsidRPr="00ED33A7">
              <w:rPr>
                <w:rFonts w:ascii="Calibri" w:eastAsia="Times New Roman" w:hAnsi="Calibri" w:cs="Calibri"/>
                <w:kern w:val="24"/>
                <w:sz w:val="20"/>
                <w:szCs w:val="20"/>
                <w:lang w:eastAsia="fr-FR"/>
              </w:rPr>
              <w:t xml:space="preserve">400 </w:t>
            </w:r>
          </w:p>
        </w:tc>
        <w:tc>
          <w:tcPr>
            <w:tcW w:w="156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02F3BBB9" w14:textId="77777777" w:rsidR="006F642B" w:rsidRPr="006F642B" w:rsidRDefault="006F642B" w:rsidP="006F642B">
            <w:pPr>
              <w:spacing w:after="0" w:line="240" w:lineRule="auto"/>
              <w:jc w:val="center"/>
              <w:rPr>
                <w:rFonts w:ascii="Arial" w:eastAsia="Times New Roman" w:hAnsi="Arial" w:cs="Arial"/>
                <w:sz w:val="20"/>
                <w:szCs w:val="20"/>
                <w:lang w:eastAsia="fr-FR"/>
              </w:rPr>
            </w:pPr>
            <w:r w:rsidRPr="006F642B">
              <w:rPr>
                <w:rFonts w:ascii="Calibri" w:eastAsia="Times New Roman" w:hAnsi="Calibri" w:cs="Calibri"/>
                <w:color w:val="000000" w:themeColor="dark1"/>
                <w:kern w:val="24"/>
                <w:sz w:val="20"/>
                <w:szCs w:val="20"/>
                <w:lang w:eastAsia="fr-FR"/>
              </w:rPr>
              <w:t>0</w:t>
            </w:r>
          </w:p>
        </w:tc>
      </w:tr>
    </w:tbl>
    <w:p w14:paraId="405699BB" w14:textId="16D99EAC" w:rsidR="006F642B" w:rsidRPr="006F642B" w:rsidRDefault="006F642B" w:rsidP="006F642B">
      <w:pPr>
        <w:pStyle w:val="NormalWeb"/>
        <w:spacing w:before="0" w:beforeAutospacing="0" w:after="0" w:afterAutospacing="0"/>
        <w:rPr>
          <w:sz w:val="22"/>
          <w:szCs w:val="22"/>
        </w:rPr>
      </w:pPr>
      <w:r w:rsidRPr="006F642B">
        <w:rPr>
          <w:rFonts w:asciiTheme="minorHAnsi" w:eastAsiaTheme="minorEastAsia" w:hAnsi="Calibri" w:cstheme="minorBidi"/>
          <w:color w:val="000000" w:themeColor="text1"/>
          <w:kern w:val="24"/>
          <w:sz w:val="22"/>
          <w:szCs w:val="22"/>
        </w:rPr>
        <w:t xml:space="preserve">Pour les </w:t>
      </w:r>
      <w:proofErr w:type="spellStart"/>
      <w:r w:rsidRPr="006F642B">
        <w:rPr>
          <w:rFonts w:asciiTheme="minorHAnsi" w:eastAsiaTheme="minorEastAsia" w:hAnsi="Calibri" w:cstheme="minorBidi"/>
          <w:color w:val="000000" w:themeColor="text1"/>
          <w:kern w:val="24"/>
          <w:sz w:val="22"/>
          <w:szCs w:val="22"/>
        </w:rPr>
        <w:t>contractuel.les</w:t>
      </w:r>
      <w:proofErr w:type="spellEnd"/>
      <w:r w:rsidRPr="006F642B">
        <w:rPr>
          <w:rFonts w:asciiTheme="minorHAnsi" w:eastAsiaTheme="minorEastAsia" w:hAnsi="Calibri" w:cstheme="minorBidi"/>
          <w:color w:val="000000" w:themeColor="text1"/>
          <w:kern w:val="24"/>
          <w:sz w:val="22"/>
          <w:szCs w:val="22"/>
        </w:rPr>
        <w:t xml:space="preserve">: </w:t>
      </w:r>
      <w:r w:rsidR="00ED33A7" w:rsidRPr="006F642B">
        <w:rPr>
          <w:rFonts w:asciiTheme="minorHAnsi" w:eastAsiaTheme="minorEastAsia" w:hAnsi="Calibri" w:cstheme="minorBidi"/>
          <w:color w:val="000000" w:themeColor="text1"/>
          <w:kern w:val="24"/>
          <w:sz w:val="22"/>
          <w:szCs w:val="22"/>
        </w:rPr>
        <w:t>relèvement</w:t>
      </w:r>
      <w:r w:rsidRPr="006F642B">
        <w:rPr>
          <w:rFonts w:asciiTheme="minorHAnsi" w:eastAsiaTheme="minorEastAsia" w:hAnsi="Calibri" w:cstheme="minorBidi"/>
          <w:color w:val="000000" w:themeColor="text1"/>
          <w:kern w:val="24"/>
          <w:sz w:val="22"/>
          <w:szCs w:val="22"/>
        </w:rPr>
        <w:t xml:space="preserve"> de 300 euros de la prime d’attractivité, soit une prime d’attractivité de 700 à 1 750 euros. </w:t>
      </w:r>
    </w:p>
    <w:p w14:paraId="55547AD7" w14:textId="77777777" w:rsidR="006F642B" w:rsidRDefault="006F642B" w:rsidP="006F642B">
      <w:pPr>
        <w:pStyle w:val="Paragraphedeliste"/>
        <w:rPr>
          <w:rFonts w:eastAsiaTheme="minorEastAsia" w:hAnsi="Calibri"/>
          <w:color w:val="000000" w:themeColor="text1"/>
          <w:kern w:val="24"/>
          <w:lang w:eastAsia="fr-FR"/>
        </w:rPr>
      </w:pPr>
    </w:p>
    <w:p w14:paraId="24F97721" w14:textId="77777777" w:rsidR="006F642B" w:rsidRPr="006E2976" w:rsidRDefault="006F642B" w:rsidP="006E2976">
      <w:pPr>
        <w:rPr>
          <w:rFonts w:eastAsiaTheme="minorEastAsia" w:hAnsi="Calibri"/>
          <w:color w:val="ED7D31" w:themeColor="accent2"/>
          <w:kern w:val="24"/>
          <w:lang w:eastAsia="fr-FR"/>
        </w:rPr>
      </w:pPr>
      <w:r w:rsidRPr="006E2976">
        <w:rPr>
          <w:rFonts w:eastAsiaTheme="minorEastAsia" w:hAnsi="Calibri"/>
          <w:color w:val="ED7D31" w:themeColor="accent2"/>
          <w:kern w:val="24"/>
          <w:lang w:eastAsia="fr-FR"/>
        </w:rPr>
        <w:t>Diapo 6</w:t>
      </w:r>
    </w:p>
    <w:p w14:paraId="115BEB7B" w14:textId="4E0BFBBB" w:rsidR="006F642B" w:rsidRPr="006E2976" w:rsidRDefault="006F642B" w:rsidP="006E2976">
      <w:pPr>
        <w:rPr>
          <w:rFonts w:eastAsiaTheme="minorEastAsia" w:hAnsi="Calibri"/>
          <w:color w:val="000000" w:themeColor="text1"/>
          <w:kern w:val="24"/>
          <w:lang w:eastAsia="fr-FR"/>
        </w:rPr>
      </w:pPr>
      <w:r w:rsidRPr="006E2976">
        <w:rPr>
          <w:rFonts w:eastAsiaTheme="minorEastAsia" w:hAnsi="Calibri"/>
          <w:color w:val="000000" w:themeColor="text1"/>
          <w:kern w:val="24"/>
          <w:lang w:eastAsia="fr-FR"/>
        </w:rPr>
        <w:t xml:space="preserve">Le passage d’un contingentement (limitation du nombre de place à la classe exceptionnelle) à un ratio promu.es / promouvable, fait qu’il n’y aura plus de limitation </w:t>
      </w:r>
      <w:r w:rsidR="00ED33A7">
        <w:rPr>
          <w:rFonts w:eastAsiaTheme="minorEastAsia" w:hAnsi="Calibri"/>
          <w:color w:val="000000" w:themeColor="text1"/>
          <w:kern w:val="24"/>
          <w:lang w:eastAsia="fr-FR"/>
        </w:rPr>
        <w:t>de</w:t>
      </w:r>
      <w:r w:rsidRPr="006E2976">
        <w:rPr>
          <w:rFonts w:eastAsiaTheme="minorEastAsia" w:hAnsi="Calibri"/>
          <w:color w:val="000000" w:themeColor="text1"/>
          <w:kern w:val="24"/>
          <w:lang w:eastAsia="fr-FR"/>
        </w:rPr>
        <w:t xml:space="preserve"> l’accès à la classe exceptionnelle. C’est une avancée indéniable (obtenu pour </w:t>
      </w:r>
      <w:proofErr w:type="gramStart"/>
      <w:r w:rsidRPr="006E2976">
        <w:rPr>
          <w:rFonts w:eastAsiaTheme="minorEastAsia" w:hAnsi="Calibri"/>
          <w:color w:val="000000" w:themeColor="text1"/>
          <w:kern w:val="24"/>
          <w:lang w:eastAsia="fr-FR"/>
        </w:rPr>
        <w:t>la</w:t>
      </w:r>
      <w:proofErr w:type="gramEnd"/>
      <w:r w:rsidRPr="006E2976">
        <w:rPr>
          <w:rFonts w:eastAsiaTheme="minorEastAsia" w:hAnsi="Calibri"/>
          <w:color w:val="000000" w:themeColor="text1"/>
          <w:kern w:val="24"/>
          <w:lang w:eastAsia="fr-FR"/>
        </w:rPr>
        <w:t xml:space="preserve"> Hors </w:t>
      </w:r>
      <w:r w:rsidR="00ED33A7">
        <w:rPr>
          <w:rFonts w:eastAsiaTheme="minorEastAsia" w:hAnsi="Calibri"/>
          <w:color w:val="000000" w:themeColor="text1"/>
          <w:kern w:val="24"/>
          <w:lang w:eastAsia="fr-FR"/>
        </w:rPr>
        <w:t xml:space="preserve">Classe </w:t>
      </w:r>
      <w:r w:rsidRPr="006E2976">
        <w:rPr>
          <w:rFonts w:eastAsiaTheme="minorEastAsia" w:hAnsi="Calibri"/>
          <w:color w:val="000000" w:themeColor="text1"/>
          <w:kern w:val="24"/>
          <w:lang w:eastAsia="fr-FR"/>
        </w:rPr>
        <w:t xml:space="preserve">en 2004). </w:t>
      </w:r>
    </w:p>
    <w:p w14:paraId="0E6593E5" w14:textId="358B28EC" w:rsidR="004052C0" w:rsidRPr="006E2976" w:rsidRDefault="006F642B" w:rsidP="006E2976">
      <w:pPr>
        <w:rPr>
          <w:rFonts w:eastAsiaTheme="minorEastAsia" w:hAnsi="Calibri"/>
          <w:color w:val="FF0000"/>
          <w:kern w:val="24"/>
          <w:lang w:eastAsia="fr-FR"/>
        </w:rPr>
      </w:pPr>
      <w:r w:rsidRPr="006E2976">
        <w:rPr>
          <w:rFonts w:eastAsiaTheme="minorEastAsia" w:hAnsi="Calibri"/>
          <w:color w:val="000000" w:themeColor="text1"/>
          <w:kern w:val="24"/>
          <w:lang w:eastAsia="fr-FR"/>
        </w:rPr>
        <w:t xml:space="preserve">La linéarisation de l’échelon spécial veut dire que l’échelon spécial devient un échelon de la classe exceptionnelle qui </w:t>
      </w:r>
      <w:r w:rsidR="00ED33A7">
        <w:rPr>
          <w:rFonts w:eastAsiaTheme="minorEastAsia" w:hAnsi="Calibri"/>
          <w:color w:val="000000" w:themeColor="text1"/>
          <w:kern w:val="24"/>
          <w:lang w:eastAsia="fr-FR"/>
        </w:rPr>
        <w:t>pourra être obtenu</w:t>
      </w:r>
      <w:r w:rsidRPr="006E2976">
        <w:rPr>
          <w:rFonts w:eastAsiaTheme="minorEastAsia" w:hAnsi="Calibri"/>
          <w:color w:val="000000" w:themeColor="text1"/>
          <w:kern w:val="24"/>
          <w:lang w:eastAsia="fr-FR"/>
        </w:rPr>
        <w:t xml:space="preserve"> à partir </w:t>
      </w:r>
      <w:r w:rsidR="004052C0" w:rsidRPr="006E2976">
        <w:rPr>
          <w:rFonts w:eastAsiaTheme="minorEastAsia" w:hAnsi="Calibri"/>
          <w:color w:val="000000" w:themeColor="text1"/>
          <w:kern w:val="24"/>
          <w:lang w:eastAsia="fr-FR"/>
        </w:rPr>
        <w:t xml:space="preserve">de </w:t>
      </w:r>
      <w:r w:rsidR="00ED33A7" w:rsidRPr="00ED33A7">
        <w:rPr>
          <w:rFonts w:eastAsiaTheme="minorEastAsia" w:hAnsi="Calibri"/>
          <w:kern w:val="24"/>
          <w:lang w:eastAsia="fr-FR"/>
        </w:rPr>
        <w:t>3</w:t>
      </w:r>
      <w:r w:rsidR="004052C0" w:rsidRPr="00ED33A7">
        <w:rPr>
          <w:rFonts w:eastAsiaTheme="minorEastAsia" w:hAnsi="Calibri"/>
          <w:kern w:val="24"/>
          <w:lang w:eastAsia="fr-FR"/>
        </w:rPr>
        <w:t xml:space="preserve"> années</w:t>
      </w:r>
      <w:r w:rsidR="00ED33A7">
        <w:rPr>
          <w:rFonts w:eastAsiaTheme="minorEastAsia" w:hAnsi="Calibri"/>
          <w:kern w:val="24"/>
          <w:lang w:eastAsia="fr-FR"/>
        </w:rPr>
        <w:t xml:space="preserve"> dans le 4</w:t>
      </w:r>
      <w:r w:rsidR="00ED33A7" w:rsidRPr="00ED33A7">
        <w:rPr>
          <w:rFonts w:eastAsiaTheme="minorEastAsia" w:hAnsi="Calibri"/>
          <w:kern w:val="24"/>
          <w:vertAlign w:val="superscript"/>
          <w:lang w:eastAsia="fr-FR"/>
        </w:rPr>
        <w:t>ème</w:t>
      </w:r>
      <w:r w:rsidR="00ED33A7">
        <w:rPr>
          <w:rFonts w:eastAsiaTheme="minorEastAsia" w:hAnsi="Calibri"/>
          <w:kern w:val="24"/>
          <w:lang w:eastAsia="fr-FR"/>
        </w:rPr>
        <w:t xml:space="preserve"> échelon de la Classe Exceptionnelle.</w:t>
      </w:r>
    </w:p>
    <w:p w14:paraId="69E7733C" w14:textId="77777777" w:rsidR="004052C0" w:rsidRDefault="004052C0" w:rsidP="006E2976">
      <w:pPr>
        <w:pStyle w:val="Titre1"/>
        <w:jc w:val="center"/>
        <w:rPr>
          <w:rFonts w:eastAsiaTheme="minorEastAsia"/>
          <w:lang w:eastAsia="fr-FR"/>
        </w:rPr>
      </w:pPr>
      <w:r>
        <w:rPr>
          <w:rFonts w:eastAsiaTheme="minorEastAsia"/>
          <w:lang w:eastAsia="fr-FR"/>
        </w:rPr>
        <w:t>P</w:t>
      </w:r>
      <w:r w:rsidR="006E2976">
        <w:rPr>
          <w:rFonts w:eastAsiaTheme="minorEastAsia"/>
          <w:lang w:eastAsia="fr-FR"/>
        </w:rPr>
        <w:t>artie</w:t>
      </w:r>
      <w:r>
        <w:rPr>
          <w:rFonts w:eastAsiaTheme="minorEastAsia"/>
          <w:lang w:eastAsia="fr-FR"/>
        </w:rPr>
        <w:t xml:space="preserve"> 3 P</w:t>
      </w:r>
      <w:r w:rsidR="006E2976">
        <w:rPr>
          <w:rFonts w:eastAsiaTheme="minorEastAsia"/>
          <w:lang w:eastAsia="fr-FR"/>
        </w:rPr>
        <w:t>ACTE</w:t>
      </w:r>
    </w:p>
    <w:p w14:paraId="6F3CA3BA" w14:textId="77777777" w:rsidR="006E2976" w:rsidRPr="006E2976" w:rsidRDefault="006E2976" w:rsidP="006E2976">
      <w:pPr>
        <w:rPr>
          <w:lang w:eastAsia="fr-FR"/>
        </w:rPr>
      </w:pPr>
    </w:p>
    <w:p w14:paraId="04621C19" w14:textId="77777777" w:rsidR="006E2976" w:rsidRPr="006E2976" w:rsidRDefault="004052C0" w:rsidP="006E2976">
      <w:pPr>
        <w:rPr>
          <w:rFonts w:eastAsiaTheme="minorEastAsia" w:hAnsi="Calibri"/>
          <w:color w:val="ED7D31" w:themeColor="accent2"/>
          <w:kern w:val="24"/>
          <w:lang w:eastAsia="fr-FR"/>
        </w:rPr>
      </w:pPr>
      <w:r w:rsidRPr="006E2976">
        <w:rPr>
          <w:rFonts w:eastAsiaTheme="minorEastAsia" w:hAnsi="Calibri"/>
          <w:color w:val="ED7D31" w:themeColor="accent2"/>
          <w:kern w:val="24"/>
          <w:lang w:eastAsia="fr-FR"/>
        </w:rPr>
        <w:t>Diapo 15</w:t>
      </w:r>
    </w:p>
    <w:p w14:paraId="42DC9292" w14:textId="77777777" w:rsidR="00D2070A" w:rsidRPr="006E2976" w:rsidRDefault="006E2976" w:rsidP="006E2976">
      <w:pPr>
        <w:rPr>
          <w:rFonts w:eastAsiaTheme="minorEastAsia" w:hAnsi="Calibri"/>
          <w:kern w:val="24"/>
          <w:lang w:eastAsia="fr-FR"/>
        </w:rPr>
      </w:pPr>
      <w:r>
        <w:rPr>
          <w:rFonts w:eastAsiaTheme="minorEastAsia" w:hAnsi="Calibri"/>
          <w:kern w:val="24"/>
          <w:lang w:eastAsia="fr-FR"/>
        </w:rPr>
        <w:t>L</w:t>
      </w:r>
      <w:r w:rsidR="004052C0" w:rsidRPr="006E2976">
        <w:rPr>
          <w:rFonts w:eastAsiaTheme="minorEastAsia" w:hAnsi="Calibri"/>
          <w:kern w:val="24"/>
          <w:lang w:eastAsia="fr-FR"/>
        </w:rPr>
        <w:t xml:space="preserve">e </w:t>
      </w:r>
      <w:r w:rsidRPr="006E2976">
        <w:rPr>
          <w:rFonts w:eastAsiaTheme="minorEastAsia" w:hAnsi="Calibri"/>
          <w:kern w:val="24"/>
          <w:lang w:eastAsia="fr-FR"/>
        </w:rPr>
        <w:t>redéploiement</w:t>
      </w:r>
      <w:r w:rsidR="004052C0" w:rsidRPr="006E2976">
        <w:rPr>
          <w:rFonts w:eastAsiaTheme="minorEastAsia" w:hAnsi="Calibri"/>
          <w:kern w:val="24"/>
          <w:lang w:eastAsia="fr-FR"/>
        </w:rPr>
        <w:t xml:space="preserve"> affiché par le ministère dans ses diaporama</w:t>
      </w:r>
      <w:r w:rsidR="00D2070A" w:rsidRPr="006E2976">
        <w:rPr>
          <w:rFonts w:eastAsiaTheme="minorEastAsia" w:hAnsi="Calibri"/>
          <w:kern w:val="24"/>
          <w:lang w:eastAsia="fr-FR"/>
        </w:rPr>
        <w:t>s</w:t>
      </w:r>
      <w:r w:rsidR="004052C0" w:rsidRPr="006E2976">
        <w:rPr>
          <w:rFonts w:eastAsiaTheme="minorEastAsia" w:hAnsi="Calibri"/>
          <w:kern w:val="24"/>
          <w:lang w:eastAsia="fr-FR"/>
        </w:rPr>
        <w:t xml:space="preserve"> veut dire que le chef d’établissement pourra faire évoluer ce que les signataires du Pacte devront faire en fonction des besoins de l’établissement. C’est la logique de la « fongibilité asymétrique ». </w:t>
      </w:r>
      <w:r w:rsidR="00D2070A" w:rsidRPr="006E2976">
        <w:rPr>
          <w:rFonts w:eastAsiaTheme="minorEastAsia" w:hAnsi="Calibri"/>
          <w:kern w:val="24"/>
          <w:lang w:eastAsia="fr-FR"/>
        </w:rPr>
        <w:t>Les signataires pourront être « </w:t>
      </w:r>
      <w:r w:rsidRPr="006E2976">
        <w:rPr>
          <w:rFonts w:eastAsiaTheme="minorEastAsia" w:hAnsi="Calibri"/>
          <w:kern w:val="24"/>
          <w:lang w:eastAsia="fr-FR"/>
        </w:rPr>
        <w:t>redéployés</w:t>
      </w:r>
      <w:r w:rsidR="00D2070A" w:rsidRPr="006E2976">
        <w:rPr>
          <w:rFonts w:eastAsiaTheme="minorEastAsia" w:hAnsi="Calibri"/>
          <w:kern w:val="24"/>
          <w:lang w:eastAsia="fr-FR"/>
        </w:rPr>
        <w:t> » sur des missions pour lesquels ils n’ont pas signé !</w:t>
      </w:r>
    </w:p>
    <w:p w14:paraId="22EFBA51" w14:textId="77777777" w:rsidR="006E2976" w:rsidRPr="006E2976" w:rsidRDefault="004052C0" w:rsidP="006E2976">
      <w:pPr>
        <w:rPr>
          <w:rFonts w:eastAsiaTheme="minorEastAsia" w:hAnsi="Calibri"/>
          <w:color w:val="ED7D31" w:themeColor="accent2"/>
          <w:kern w:val="24"/>
          <w:lang w:eastAsia="fr-FR"/>
        </w:rPr>
      </w:pPr>
      <w:r w:rsidRPr="006E2976">
        <w:rPr>
          <w:rFonts w:eastAsiaTheme="minorEastAsia" w:hAnsi="Calibri"/>
          <w:color w:val="ED7D31" w:themeColor="accent2"/>
          <w:kern w:val="24"/>
          <w:lang w:eastAsia="fr-FR"/>
        </w:rPr>
        <w:t>Diapo 17</w:t>
      </w:r>
    </w:p>
    <w:p w14:paraId="61CB6FA5" w14:textId="77777777" w:rsidR="004052C0" w:rsidRPr="006E2976" w:rsidRDefault="006E2976" w:rsidP="006E2976">
      <w:pPr>
        <w:rPr>
          <w:rFonts w:eastAsiaTheme="minorEastAsia" w:hAnsi="Calibri"/>
          <w:kern w:val="24"/>
          <w:lang w:eastAsia="fr-FR"/>
        </w:rPr>
      </w:pPr>
      <w:r>
        <w:rPr>
          <w:rFonts w:eastAsiaTheme="minorEastAsia" w:hAnsi="Calibri"/>
          <w:kern w:val="24"/>
          <w:lang w:eastAsia="fr-FR"/>
        </w:rPr>
        <w:t>L</w:t>
      </w:r>
      <w:r w:rsidR="004052C0" w:rsidRPr="006E2976">
        <w:rPr>
          <w:rFonts w:eastAsiaTheme="minorEastAsia" w:hAnsi="Calibri"/>
          <w:kern w:val="24"/>
          <w:lang w:eastAsia="fr-FR"/>
        </w:rPr>
        <w:t>e Pacte LP un outil de mise en œuvre de la réforme de la voie professionnelle</w:t>
      </w:r>
    </w:p>
    <w:p w14:paraId="5486EBF3" w14:textId="77777777" w:rsidR="004052C0" w:rsidRDefault="004052C0" w:rsidP="006F642B">
      <w:pPr>
        <w:pStyle w:val="Paragraphedeliste"/>
        <w:rPr>
          <w:rFonts w:eastAsiaTheme="minorEastAsia" w:hAnsi="Calibri"/>
          <w:kern w:val="24"/>
          <w:lang w:eastAsia="fr-FR"/>
        </w:rPr>
      </w:pPr>
      <w:r>
        <w:rPr>
          <w:rFonts w:eastAsiaTheme="minorEastAsia" w:hAnsi="Calibri"/>
          <w:kern w:val="24"/>
          <w:lang w:eastAsia="fr-FR"/>
        </w:rPr>
        <w:t xml:space="preserve">La réforme : </w:t>
      </w:r>
      <w:hyperlink r:id="rId9" w:history="1">
        <w:r w:rsidRPr="004052C0">
          <w:rPr>
            <w:rStyle w:val="Lienhypertexte"/>
            <w:rFonts w:eastAsiaTheme="minorEastAsia" w:hAnsi="Calibri"/>
            <w:kern w:val="24"/>
            <w:lang w:eastAsia="fr-FR"/>
          </w:rPr>
          <w:t>https://snuep.fr/lycee-pro-12-mesures/carrousel/</w:t>
        </w:r>
      </w:hyperlink>
    </w:p>
    <w:p w14:paraId="5716AF67" w14:textId="77777777" w:rsidR="004052C0" w:rsidRDefault="004052C0" w:rsidP="006F642B">
      <w:pPr>
        <w:pStyle w:val="Paragraphedeliste"/>
        <w:rPr>
          <w:rFonts w:eastAsiaTheme="minorEastAsia" w:hAnsi="Calibri"/>
          <w:kern w:val="24"/>
          <w:lang w:eastAsia="fr-FR"/>
        </w:rPr>
      </w:pPr>
      <w:r>
        <w:rPr>
          <w:rFonts w:eastAsiaTheme="minorEastAsia" w:hAnsi="Calibri"/>
          <w:kern w:val="24"/>
          <w:lang w:eastAsia="fr-FR"/>
        </w:rPr>
        <w:t xml:space="preserve">Le pacte en détail : </w:t>
      </w:r>
      <w:hyperlink r:id="rId10" w:history="1">
        <w:r w:rsidRPr="004052C0">
          <w:rPr>
            <w:rStyle w:val="Lienhypertexte"/>
            <w:rFonts w:eastAsiaTheme="minorEastAsia" w:hAnsi="Calibri"/>
            <w:kern w:val="24"/>
            <w:lang w:eastAsia="fr-FR"/>
          </w:rPr>
          <w:t>https://snuep.fr/pactelp-reforme/actualite/</w:t>
        </w:r>
      </w:hyperlink>
    </w:p>
    <w:p w14:paraId="1C53F25D" w14:textId="77777777" w:rsidR="004052C0" w:rsidRDefault="004052C0" w:rsidP="006F642B">
      <w:pPr>
        <w:pStyle w:val="Paragraphedeliste"/>
        <w:rPr>
          <w:rFonts w:eastAsiaTheme="minorEastAsia" w:hAnsi="Calibri"/>
          <w:kern w:val="24"/>
          <w:lang w:eastAsia="fr-FR"/>
        </w:rPr>
      </w:pPr>
    </w:p>
    <w:p w14:paraId="5B859B7F" w14:textId="77777777" w:rsidR="004052C0" w:rsidRDefault="00D2070A" w:rsidP="00D2070A">
      <w:pPr>
        <w:pStyle w:val="Titre1"/>
        <w:jc w:val="center"/>
        <w:rPr>
          <w:rFonts w:eastAsiaTheme="minorEastAsia"/>
          <w:lang w:eastAsia="fr-FR"/>
        </w:rPr>
      </w:pPr>
      <w:r>
        <w:rPr>
          <w:rFonts w:eastAsiaTheme="minorEastAsia"/>
          <w:lang w:eastAsia="fr-FR"/>
        </w:rPr>
        <w:t>Partie 4 ACTIVITE SYNDICALE</w:t>
      </w:r>
    </w:p>
    <w:p w14:paraId="2FAB3C71" w14:textId="77777777" w:rsidR="006E2976" w:rsidRPr="006E2976" w:rsidRDefault="006E2976" w:rsidP="006E2976">
      <w:pPr>
        <w:rPr>
          <w:lang w:eastAsia="fr-FR"/>
        </w:rPr>
      </w:pPr>
    </w:p>
    <w:p w14:paraId="7B01DC6E" w14:textId="4B7D6902" w:rsidR="0084553B" w:rsidRDefault="00D2070A" w:rsidP="004319F3">
      <w:r w:rsidRPr="006E2976">
        <w:rPr>
          <w:rFonts w:eastAsiaTheme="minorEastAsia" w:hAnsi="Calibri"/>
          <w:kern w:val="24"/>
          <w:lang w:eastAsia="fr-FR"/>
        </w:rPr>
        <w:t xml:space="preserve">A développer pour créer un rapport de force collectif, face à une administration qui utilisera tous les moyens d’individualisation et de chantage pour faire signer. En tout état de cause, ne rien signer maintenant car nous pouvons obtenir collectivement la fin du Pacte et des améliorations pour tous. Il faut bien mesurer que l’engagement d’une partie des enseignants dans un tel dispositif fragiliserait le statut pour tous, d’où la lutte collective à mener. </w:t>
      </w:r>
    </w:p>
    <w:sectPr w:rsidR="0084553B" w:rsidSect="006E2976">
      <w:headerReference w:type="default" r:id="rId11"/>
      <w:pgSz w:w="11906" w:h="16838"/>
      <w:pgMar w:top="720" w:right="1134"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944B4" w14:textId="77777777" w:rsidR="00DA4B18" w:rsidRDefault="00DA4B18" w:rsidP="006E2976">
      <w:pPr>
        <w:spacing w:after="0" w:line="240" w:lineRule="auto"/>
      </w:pPr>
      <w:r>
        <w:separator/>
      </w:r>
    </w:p>
  </w:endnote>
  <w:endnote w:type="continuationSeparator" w:id="0">
    <w:p w14:paraId="185C9E62" w14:textId="77777777" w:rsidR="00DA4B18" w:rsidRDefault="00DA4B18" w:rsidP="006E2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BA335" w14:textId="77777777" w:rsidR="00DA4B18" w:rsidRDefault="00DA4B18" w:rsidP="006E2976">
      <w:pPr>
        <w:spacing w:after="0" w:line="240" w:lineRule="auto"/>
      </w:pPr>
      <w:r>
        <w:separator/>
      </w:r>
    </w:p>
  </w:footnote>
  <w:footnote w:type="continuationSeparator" w:id="0">
    <w:p w14:paraId="69A5CF62" w14:textId="77777777" w:rsidR="00DA4B18" w:rsidRDefault="00DA4B18" w:rsidP="006E29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1C5D7" w14:textId="77777777" w:rsidR="006E2976" w:rsidRPr="006E2976" w:rsidRDefault="006E2976" w:rsidP="006E2976">
    <w:pPr>
      <w:pStyle w:val="En-tte"/>
    </w:pPr>
    <w:r>
      <w:rPr>
        <w:noProof/>
      </w:rPr>
      <w:drawing>
        <wp:anchor distT="0" distB="0" distL="114300" distR="114300" simplePos="0" relativeHeight="251658240" behindDoc="1" locked="0" layoutInCell="1" allowOverlap="1" wp14:anchorId="01DB9C6E" wp14:editId="610CDC56">
          <wp:simplePos x="0" y="0"/>
          <wp:positionH relativeFrom="column">
            <wp:posOffset>5249545</wp:posOffset>
          </wp:positionH>
          <wp:positionV relativeFrom="paragraph">
            <wp:posOffset>-297180</wp:posOffset>
          </wp:positionV>
          <wp:extent cx="1270000" cy="406400"/>
          <wp:effectExtent l="0" t="0" r="6350" b="0"/>
          <wp:wrapNone/>
          <wp:docPr id="192001444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0014440" name="Image 1920014440"/>
                  <pic:cNvPicPr/>
                </pic:nvPicPr>
                <pic:blipFill>
                  <a:blip r:embed="rId1">
                    <a:extLst>
                      <a:ext uri="{28A0092B-C50C-407E-A947-70E740481C1C}">
                        <a14:useLocalDpi xmlns:a14="http://schemas.microsoft.com/office/drawing/2010/main" val="0"/>
                      </a:ext>
                    </a:extLst>
                  </a:blip>
                  <a:stretch>
                    <a:fillRect/>
                  </a:stretch>
                </pic:blipFill>
                <pic:spPr>
                  <a:xfrm>
                    <a:off x="0" y="0"/>
                    <a:ext cx="1270000" cy="406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02B23"/>
    <w:multiLevelType w:val="hybridMultilevel"/>
    <w:tmpl w:val="510EE182"/>
    <w:lvl w:ilvl="0" w:tplc="50845B08">
      <w:start w:val="1"/>
      <w:numFmt w:val="bullet"/>
      <w:lvlText w:val="•"/>
      <w:lvlJc w:val="left"/>
      <w:pPr>
        <w:ind w:left="360" w:hanging="360"/>
      </w:pPr>
      <w:rPr>
        <w:rFonts w:ascii="Arial" w:hAnsi="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2976463F"/>
    <w:multiLevelType w:val="hybridMultilevel"/>
    <w:tmpl w:val="44E2E69E"/>
    <w:lvl w:ilvl="0" w:tplc="BB00A46A">
      <w:start w:val="1"/>
      <w:numFmt w:val="bullet"/>
      <w:lvlText w:val="•"/>
      <w:lvlJc w:val="left"/>
      <w:pPr>
        <w:tabs>
          <w:tab w:val="num" w:pos="720"/>
        </w:tabs>
        <w:ind w:left="720" w:hanging="360"/>
      </w:pPr>
      <w:rPr>
        <w:rFonts w:ascii="Arial" w:hAnsi="Arial" w:hint="default"/>
      </w:rPr>
    </w:lvl>
    <w:lvl w:ilvl="1" w:tplc="097AD312" w:tentative="1">
      <w:start w:val="1"/>
      <w:numFmt w:val="bullet"/>
      <w:lvlText w:val="•"/>
      <w:lvlJc w:val="left"/>
      <w:pPr>
        <w:tabs>
          <w:tab w:val="num" w:pos="1440"/>
        </w:tabs>
        <w:ind w:left="1440" w:hanging="360"/>
      </w:pPr>
      <w:rPr>
        <w:rFonts w:ascii="Arial" w:hAnsi="Arial" w:hint="default"/>
      </w:rPr>
    </w:lvl>
    <w:lvl w:ilvl="2" w:tplc="012402FE" w:tentative="1">
      <w:start w:val="1"/>
      <w:numFmt w:val="bullet"/>
      <w:lvlText w:val="•"/>
      <w:lvlJc w:val="left"/>
      <w:pPr>
        <w:tabs>
          <w:tab w:val="num" w:pos="2160"/>
        </w:tabs>
        <w:ind w:left="2160" w:hanging="360"/>
      </w:pPr>
      <w:rPr>
        <w:rFonts w:ascii="Arial" w:hAnsi="Arial" w:hint="default"/>
      </w:rPr>
    </w:lvl>
    <w:lvl w:ilvl="3" w:tplc="4BE8908A" w:tentative="1">
      <w:start w:val="1"/>
      <w:numFmt w:val="bullet"/>
      <w:lvlText w:val="•"/>
      <w:lvlJc w:val="left"/>
      <w:pPr>
        <w:tabs>
          <w:tab w:val="num" w:pos="2880"/>
        </w:tabs>
        <w:ind w:left="2880" w:hanging="360"/>
      </w:pPr>
      <w:rPr>
        <w:rFonts w:ascii="Arial" w:hAnsi="Arial" w:hint="default"/>
      </w:rPr>
    </w:lvl>
    <w:lvl w:ilvl="4" w:tplc="9F96BDC2" w:tentative="1">
      <w:start w:val="1"/>
      <w:numFmt w:val="bullet"/>
      <w:lvlText w:val="•"/>
      <w:lvlJc w:val="left"/>
      <w:pPr>
        <w:tabs>
          <w:tab w:val="num" w:pos="3600"/>
        </w:tabs>
        <w:ind w:left="3600" w:hanging="360"/>
      </w:pPr>
      <w:rPr>
        <w:rFonts w:ascii="Arial" w:hAnsi="Arial" w:hint="default"/>
      </w:rPr>
    </w:lvl>
    <w:lvl w:ilvl="5" w:tplc="3334CC1C" w:tentative="1">
      <w:start w:val="1"/>
      <w:numFmt w:val="bullet"/>
      <w:lvlText w:val="•"/>
      <w:lvlJc w:val="left"/>
      <w:pPr>
        <w:tabs>
          <w:tab w:val="num" w:pos="4320"/>
        </w:tabs>
        <w:ind w:left="4320" w:hanging="360"/>
      </w:pPr>
      <w:rPr>
        <w:rFonts w:ascii="Arial" w:hAnsi="Arial" w:hint="default"/>
      </w:rPr>
    </w:lvl>
    <w:lvl w:ilvl="6" w:tplc="F5069038" w:tentative="1">
      <w:start w:val="1"/>
      <w:numFmt w:val="bullet"/>
      <w:lvlText w:val="•"/>
      <w:lvlJc w:val="left"/>
      <w:pPr>
        <w:tabs>
          <w:tab w:val="num" w:pos="5040"/>
        </w:tabs>
        <w:ind w:left="5040" w:hanging="360"/>
      </w:pPr>
      <w:rPr>
        <w:rFonts w:ascii="Arial" w:hAnsi="Arial" w:hint="default"/>
      </w:rPr>
    </w:lvl>
    <w:lvl w:ilvl="7" w:tplc="34502916" w:tentative="1">
      <w:start w:val="1"/>
      <w:numFmt w:val="bullet"/>
      <w:lvlText w:val="•"/>
      <w:lvlJc w:val="left"/>
      <w:pPr>
        <w:tabs>
          <w:tab w:val="num" w:pos="5760"/>
        </w:tabs>
        <w:ind w:left="5760" w:hanging="360"/>
      </w:pPr>
      <w:rPr>
        <w:rFonts w:ascii="Arial" w:hAnsi="Arial" w:hint="default"/>
      </w:rPr>
    </w:lvl>
    <w:lvl w:ilvl="8" w:tplc="ADF8960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19D741E"/>
    <w:multiLevelType w:val="hybridMultilevel"/>
    <w:tmpl w:val="063229D4"/>
    <w:lvl w:ilvl="0" w:tplc="188631B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9381C29"/>
    <w:multiLevelType w:val="hybridMultilevel"/>
    <w:tmpl w:val="175A45C6"/>
    <w:lvl w:ilvl="0" w:tplc="50845B08">
      <w:start w:val="1"/>
      <w:numFmt w:val="bullet"/>
      <w:lvlText w:val="•"/>
      <w:lvlJc w:val="left"/>
      <w:pPr>
        <w:tabs>
          <w:tab w:val="num" w:pos="720"/>
        </w:tabs>
        <w:ind w:left="720" w:hanging="360"/>
      </w:pPr>
      <w:rPr>
        <w:rFonts w:ascii="Arial" w:hAnsi="Arial" w:hint="default"/>
      </w:rPr>
    </w:lvl>
    <w:lvl w:ilvl="1" w:tplc="9E12C39A" w:tentative="1">
      <w:start w:val="1"/>
      <w:numFmt w:val="bullet"/>
      <w:lvlText w:val="•"/>
      <w:lvlJc w:val="left"/>
      <w:pPr>
        <w:tabs>
          <w:tab w:val="num" w:pos="1440"/>
        </w:tabs>
        <w:ind w:left="1440" w:hanging="360"/>
      </w:pPr>
      <w:rPr>
        <w:rFonts w:ascii="Arial" w:hAnsi="Arial" w:hint="default"/>
      </w:rPr>
    </w:lvl>
    <w:lvl w:ilvl="2" w:tplc="98880CD0" w:tentative="1">
      <w:start w:val="1"/>
      <w:numFmt w:val="bullet"/>
      <w:lvlText w:val="•"/>
      <w:lvlJc w:val="left"/>
      <w:pPr>
        <w:tabs>
          <w:tab w:val="num" w:pos="2160"/>
        </w:tabs>
        <w:ind w:left="2160" w:hanging="360"/>
      </w:pPr>
      <w:rPr>
        <w:rFonts w:ascii="Arial" w:hAnsi="Arial" w:hint="default"/>
      </w:rPr>
    </w:lvl>
    <w:lvl w:ilvl="3" w:tplc="CFCC3A18" w:tentative="1">
      <w:start w:val="1"/>
      <w:numFmt w:val="bullet"/>
      <w:lvlText w:val="•"/>
      <w:lvlJc w:val="left"/>
      <w:pPr>
        <w:tabs>
          <w:tab w:val="num" w:pos="2880"/>
        </w:tabs>
        <w:ind w:left="2880" w:hanging="360"/>
      </w:pPr>
      <w:rPr>
        <w:rFonts w:ascii="Arial" w:hAnsi="Arial" w:hint="default"/>
      </w:rPr>
    </w:lvl>
    <w:lvl w:ilvl="4" w:tplc="F6EA3176" w:tentative="1">
      <w:start w:val="1"/>
      <w:numFmt w:val="bullet"/>
      <w:lvlText w:val="•"/>
      <w:lvlJc w:val="left"/>
      <w:pPr>
        <w:tabs>
          <w:tab w:val="num" w:pos="3600"/>
        </w:tabs>
        <w:ind w:left="3600" w:hanging="360"/>
      </w:pPr>
      <w:rPr>
        <w:rFonts w:ascii="Arial" w:hAnsi="Arial" w:hint="default"/>
      </w:rPr>
    </w:lvl>
    <w:lvl w:ilvl="5" w:tplc="C284FD26" w:tentative="1">
      <w:start w:val="1"/>
      <w:numFmt w:val="bullet"/>
      <w:lvlText w:val="•"/>
      <w:lvlJc w:val="left"/>
      <w:pPr>
        <w:tabs>
          <w:tab w:val="num" w:pos="4320"/>
        </w:tabs>
        <w:ind w:left="4320" w:hanging="360"/>
      </w:pPr>
      <w:rPr>
        <w:rFonts w:ascii="Arial" w:hAnsi="Arial" w:hint="default"/>
      </w:rPr>
    </w:lvl>
    <w:lvl w:ilvl="6" w:tplc="40F6AC86" w:tentative="1">
      <w:start w:val="1"/>
      <w:numFmt w:val="bullet"/>
      <w:lvlText w:val="•"/>
      <w:lvlJc w:val="left"/>
      <w:pPr>
        <w:tabs>
          <w:tab w:val="num" w:pos="5040"/>
        </w:tabs>
        <w:ind w:left="5040" w:hanging="360"/>
      </w:pPr>
      <w:rPr>
        <w:rFonts w:ascii="Arial" w:hAnsi="Arial" w:hint="default"/>
      </w:rPr>
    </w:lvl>
    <w:lvl w:ilvl="7" w:tplc="0C84675E" w:tentative="1">
      <w:start w:val="1"/>
      <w:numFmt w:val="bullet"/>
      <w:lvlText w:val="•"/>
      <w:lvlJc w:val="left"/>
      <w:pPr>
        <w:tabs>
          <w:tab w:val="num" w:pos="5760"/>
        </w:tabs>
        <w:ind w:left="5760" w:hanging="360"/>
      </w:pPr>
      <w:rPr>
        <w:rFonts w:ascii="Arial" w:hAnsi="Arial" w:hint="default"/>
      </w:rPr>
    </w:lvl>
    <w:lvl w:ilvl="8" w:tplc="DA1612B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8E376AF"/>
    <w:multiLevelType w:val="hybridMultilevel"/>
    <w:tmpl w:val="F4D676E8"/>
    <w:lvl w:ilvl="0" w:tplc="50845B08">
      <w:start w:val="1"/>
      <w:numFmt w:val="bullet"/>
      <w:lvlText w:val="•"/>
      <w:lvlJc w:val="left"/>
      <w:pPr>
        <w:ind w:left="-207" w:hanging="360"/>
      </w:pPr>
      <w:rPr>
        <w:rFonts w:ascii="Arial" w:hAnsi="Arial"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num w:numId="1" w16cid:durableId="1148012635">
    <w:abstractNumId w:val="2"/>
  </w:num>
  <w:num w:numId="2" w16cid:durableId="989746499">
    <w:abstractNumId w:val="3"/>
  </w:num>
  <w:num w:numId="3" w16cid:durableId="1746564093">
    <w:abstractNumId w:val="1"/>
  </w:num>
  <w:num w:numId="4" w16cid:durableId="322125064">
    <w:abstractNumId w:val="0"/>
  </w:num>
  <w:num w:numId="5" w16cid:durableId="1164864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53B"/>
    <w:rsid w:val="00084870"/>
    <w:rsid w:val="00147D4B"/>
    <w:rsid w:val="001A75AE"/>
    <w:rsid w:val="004052C0"/>
    <w:rsid w:val="004319F3"/>
    <w:rsid w:val="005673A9"/>
    <w:rsid w:val="006E2976"/>
    <w:rsid w:val="006F642B"/>
    <w:rsid w:val="0084553B"/>
    <w:rsid w:val="00864654"/>
    <w:rsid w:val="00C65F43"/>
    <w:rsid w:val="00D2070A"/>
    <w:rsid w:val="00DA4B18"/>
    <w:rsid w:val="00ED33A7"/>
    <w:rsid w:val="00EE7DEB"/>
    <w:rsid w:val="00F431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CB9581"/>
  <w15:chartTrackingRefBased/>
  <w15:docId w15:val="{C3D56435-5714-4DF8-A01E-EAD1FF047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D207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673A9"/>
    <w:pPr>
      <w:ind w:left="720"/>
      <w:contextualSpacing/>
    </w:pPr>
  </w:style>
  <w:style w:type="character" w:styleId="Lienhypertexte">
    <w:name w:val="Hyperlink"/>
    <w:basedOn w:val="Policepardfaut"/>
    <w:uiPriority w:val="99"/>
    <w:unhideWhenUsed/>
    <w:rsid w:val="005673A9"/>
    <w:rPr>
      <w:color w:val="0563C1" w:themeColor="hyperlink"/>
      <w:u w:val="single"/>
    </w:rPr>
  </w:style>
  <w:style w:type="paragraph" w:styleId="NormalWeb">
    <w:name w:val="Normal (Web)"/>
    <w:basedOn w:val="Normal"/>
    <w:uiPriority w:val="99"/>
    <w:semiHidden/>
    <w:unhideWhenUsed/>
    <w:rsid w:val="006F642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D2070A"/>
    <w:rPr>
      <w:rFonts w:asciiTheme="majorHAnsi" w:eastAsiaTheme="majorEastAsia" w:hAnsiTheme="majorHAnsi" w:cstheme="majorBidi"/>
      <w:color w:val="2E74B5" w:themeColor="accent1" w:themeShade="BF"/>
      <w:sz w:val="32"/>
      <w:szCs w:val="32"/>
    </w:rPr>
  </w:style>
  <w:style w:type="character" w:styleId="Accentuationlgre">
    <w:name w:val="Subtle Emphasis"/>
    <w:basedOn w:val="Policepardfaut"/>
    <w:uiPriority w:val="19"/>
    <w:qFormat/>
    <w:rsid w:val="006E2976"/>
    <w:rPr>
      <w:i/>
      <w:iCs/>
      <w:color w:val="404040" w:themeColor="text1" w:themeTint="BF"/>
    </w:rPr>
  </w:style>
  <w:style w:type="paragraph" w:styleId="En-tte">
    <w:name w:val="header"/>
    <w:basedOn w:val="Normal"/>
    <w:link w:val="En-tteCar"/>
    <w:uiPriority w:val="99"/>
    <w:unhideWhenUsed/>
    <w:rsid w:val="006E2976"/>
    <w:pPr>
      <w:tabs>
        <w:tab w:val="center" w:pos="4536"/>
        <w:tab w:val="right" w:pos="9072"/>
      </w:tabs>
      <w:spacing w:after="0" w:line="240" w:lineRule="auto"/>
    </w:pPr>
  </w:style>
  <w:style w:type="character" w:customStyle="1" w:styleId="En-tteCar">
    <w:name w:val="En-tête Car"/>
    <w:basedOn w:val="Policepardfaut"/>
    <w:link w:val="En-tte"/>
    <w:uiPriority w:val="99"/>
    <w:rsid w:val="006E2976"/>
  </w:style>
  <w:style w:type="paragraph" w:styleId="Pieddepage">
    <w:name w:val="footer"/>
    <w:basedOn w:val="Normal"/>
    <w:link w:val="PieddepageCar"/>
    <w:uiPriority w:val="99"/>
    <w:unhideWhenUsed/>
    <w:rsid w:val="006E297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E2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522298">
      <w:bodyDiv w:val="1"/>
      <w:marLeft w:val="0"/>
      <w:marRight w:val="0"/>
      <w:marTop w:val="0"/>
      <w:marBottom w:val="0"/>
      <w:divBdr>
        <w:top w:val="none" w:sz="0" w:space="0" w:color="auto"/>
        <w:left w:val="none" w:sz="0" w:space="0" w:color="auto"/>
        <w:bottom w:val="none" w:sz="0" w:space="0" w:color="auto"/>
        <w:right w:val="none" w:sz="0" w:space="0" w:color="auto"/>
      </w:divBdr>
    </w:div>
    <w:div w:id="994532190">
      <w:bodyDiv w:val="1"/>
      <w:marLeft w:val="0"/>
      <w:marRight w:val="0"/>
      <w:marTop w:val="0"/>
      <w:marBottom w:val="0"/>
      <w:divBdr>
        <w:top w:val="none" w:sz="0" w:space="0" w:color="auto"/>
        <w:left w:val="none" w:sz="0" w:space="0" w:color="auto"/>
        <w:bottom w:val="none" w:sz="0" w:space="0" w:color="auto"/>
        <w:right w:val="none" w:sz="0" w:space="0" w:color="auto"/>
      </w:divBdr>
      <w:divsChild>
        <w:div w:id="847139804">
          <w:marLeft w:val="360"/>
          <w:marRight w:val="0"/>
          <w:marTop w:val="200"/>
          <w:marBottom w:val="0"/>
          <w:divBdr>
            <w:top w:val="none" w:sz="0" w:space="0" w:color="auto"/>
            <w:left w:val="none" w:sz="0" w:space="0" w:color="auto"/>
            <w:bottom w:val="none" w:sz="0" w:space="0" w:color="auto"/>
            <w:right w:val="none" w:sz="0" w:space="0" w:color="auto"/>
          </w:divBdr>
        </w:div>
        <w:div w:id="181290183">
          <w:marLeft w:val="360"/>
          <w:marRight w:val="0"/>
          <w:marTop w:val="200"/>
          <w:marBottom w:val="0"/>
          <w:divBdr>
            <w:top w:val="none" w:sz="0" w:space="0" w:color="auto"/>
            <w:left w:val="none" w:sz="0" w:space="0" w:color="auto"/>
            <w:bottom w:val="none" w:sz="0" w:space="0" w:color="auto"/>
            <w:right w:val="none" w:sz="0" w:space="0" w:color="auto"/>
          </w:divBdr>
        </w:div>
        <w:div w:id="330721171">
          <w:marLeft w:val="360"/>
          <w:marRight w:val="0"/>
          <w:marTop w:val="200"/>
          <w:marBottom w:val="0"/>
          <w:divBdr>
            <w:top w:val="none" w:sz="0" w:space="0" w:color="auto"/>
            <w:left w:val="none" w:sz="0" w:space="0" w:color="auto"/>
            <w:bottom w:val="none" w:sz="0" w:space="0" w:color="auto"/>
            <w:right w:val="none" w:sz="0" w:space="0" w:color="auto"/>
          </w:divBdr>
        </w:div>
        <w:div w:id="985813630">
          <w:marLeft w:val="360"/>
          <w:marRight w:val="0"/>
          <w:marTop w:val="200"/>
          <w:marBottom w:val="0"/>
          <w:divBdr>
            <w:top w:val="none" w:sz="0" w:space="0" w:color="auto"/>
            <w:left w:val="none" w:sz="0" w:space="0" w:color="auto"/>
            <w:bottom w:val="none" w:sz="0" w:space="0" w:color="auto"/>
            <w:right w:val="none" w:sz="0" w:space="0" w:color="auto"/>
          </w:divBdr>
        </w:div>
        <w:div w:id="222063080">
          <w:marLeft w:val="360"/>
          <w:marRight w:val="0"/>
          <w:marTop w:val="200"/>
          <w:marBottom w:val="0"/>
          <w:divBdr>
            <w:top w:val="none" w:sz="0" w:space="0" w:color="auto"/>
            <w:left w:val="none" w:sz="0" w:space="0" w:color="auto"/>
            <w:bottom w:val="none" w:sz="0" w:space="0" w:color="auto"/>
            <w:right w:val="none" w:sz="0" w:space="0" w:color="auto"/>
          </w:divBdr>
        </w:div>
        <w:div w:id="125054273">
          <w:marLeft w:val="360"/>
          <w:marRight w:val="0"/>
          <w:marTop w:val="200"/>
          <w:marBottom w:val="0"/>
          <w:divBdr>
            <w:top w:val="none" w:sz="0" w:space="0" w:color="auto"/>
            <w:left w:val="none" w:sz="0" w:space="0" w:color="auto"/>
            <w:bottom w:val="none" w:sz="0" w:space="0" w:color="auto"/>
            <w:right w:val="none" w:sz="0" w:space="0" w:color="auto"/>
          </w:divBdr>
        </w:div>
      </w:divsChild>
    </w:div>
    <w:div w:id="1891454110">
      <w:bodyDiv w:val="1"/>
      <w:marLeft w:val="0"/>
      <w:marRight w:val="0"/>
      <w:marTop w:val="0"/>
      <w:marBottom w:val="0"/>
      <w:divBdr>
        <w:top w:val="none" w:sz="0" w:space="0" w:color="auto"/>
        <w:left w:val="none" w:sz="0" w:space="0" w:color="auto"/>
        <w:bottom w:val="none" w:sz="0" w:space="0" w:color="auto"/>
        <w:right w:val="none" w:sz="0" w:space="0" w:color="auto"/>
      </w:divBdr>
      <w:divsChild>
        <w:div w:id="1014384631">
          <w:marLeft w:val="360"/>
          <w:marRight w:val="0"/>
          <w:marTop w:val="200"/>
          <w:marBottom w:val="0"/>
          <w:divBdr>
            <w:top w:val="none" w:sz="0" w:space="0" w:color="auto"/>
            <w:left w:val="none" w:sz="0" w:space="0" w:color="auto"/>
            <w:bottom w:val="none" w:sz="0" w:space="0" w:color="auto"/>
            <w:right w:val="none" w:sz="0" w:space="0" w:color="auto"/>
          </w:divBdr>
        </w:div>
      </w:divsChild>
    </w:div>
    <w:div w:id="200358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tonome-solidarite.fr/media/2022/10/ASL_Synth%C3%A8se-%C3%A9tude-climat-scolaire_OCTOBRE-22.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ducation.gouv.fr/la-moitie-des-enseignants-declare-travailler-au-moins-43-heures-par-semaine-34323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snuep.fr/pactelp-reforme/actualite/" TargetMode="External"/><Relationship Id="rId4" Type="http://schemas.openxmlformats.org/officeDocument/2006/relationships/webSettings" Target="webSettings.xml"/><Relationship Id="rId9" Type="http://schemas.openxmlformats.org/officeDocument/2006/relationships/hyperlink" Target="https://snuep.fr/lycee-pro-12-mesures/carrouse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804</Words>
  <Characters>4424</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Mathieu Weiman</cp:lastModifiedBy>
  <cp:revision>2</cp:revision>
  <dcterms:created xsi:type="dcterms:W3CDTF">2023-06-02T09:52:00Z</dcterms:created>
  <dcterms:modified xsi:type="dcterms:W3CDTF">2023-06-02T09:52:00Z</dcterms:modified>
</cp:coreProperties>
</file>